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3E647" w14:textId="77777777" w:rsidR="009D64CB" w:rsidRDefault="009D64CB" w:rsidP="00835AD5">
      <w:pPr>
        <w:spacing w:after="0" w:line="240" w:lineRule="auto"/>
        <w:jc w:val="center"/>
        <w:rPr>
          <w:rFonts w:ascii="Times New Roman" w:eastAsia="Calibri" w:hAnsi="Times New Roman" w:cs="Times New Roman"/>
          <w:b/>
          <w:kern w:val="0"/>
          <w:sz w:val="24"/>
          <w:szCs w:val="24"/>
          <w:lang w:val="bg-BG"/>
          <w14:ligatures w14:val="none"/>
        </w:rPr>
      </w:pPr>
    </w:p>
    <w:p w14:paraId="071B1C9D" w14:textId="77777777" w:rsidR="00835AD5" w:rsidRPr="00835AD5" w:rsidRDefault="00835AD5" w:rsidP="00835AD5">
      <w:pPr>
        <w:spacing w:after="0" w:line="240" w:lineRule="auto"/>
        <w:jc w:val="center"/>
        <w:rPr>
          <w:rFonts w:ascii="Times New Roman" w:eastAsia="Calibri" w:hAnsi="Times New Roman" w:cs="Times New Roman"/>
          <w:b/>
          <w:kern w:val="0"/>
          <w:sz w:val="24"/>
          <w:szCs w:val="24"/>
          <w:lang w:val="bg-BG"/>
          <w14:ligatures w14:val="none"/>
        </w:rPr>
      </w:pPr>
      <w:r w:rsidRPr="00835AD5">
        <w:rPr>
          <w:rFonts w:ascii="Times New Roman" w:eastAsia="Calibri" w:hAnsi="Times New Roman" w:cs="Times New Roman"/>
          <w:b/>
          <w:kern w:val="0"/>
          <w:sz w:val="24"/>
          <w:szCs w:val="24"/>
          <w:lang w:val="bg-BG"/>
          <w14:ligatures w14:val="none"/>
        </w:rPr>
        <w:t xml:space="preserve">ТЕХНИЧЕСКА СПЕЦИФИКАЦИЯ </w:t>
      </w:r>
    </w:p>
    <w:p w14:paraId="362577BF" w14:textId="77777777" w:rsidR="00835AD5" w:rsidRPr="00835AD5" w:rsidRDefault="00835AD5" w:rsidP="00835AD5">
      <w:pPr>
        <w:spacing w:after="0" w:line="240" w:lineRule="auto"/>
        <w:jc w:val="both"/>
        <w:rPr>
          <w:rFonts w:ascii="Times New Roman" w:eastAsia="Calibri" w:hAnsi="Times New Roman" w:cs="Times New Roman"/>
          <w:kern w:val="0"/>
          <w:sz w:val="24"/>
          <w:szCs w:val="24"/>
          <w:lang w:val="bg-BG"/>
          <w14:ligatures w14:val="none"/>
        </w:rPr>
      </w:pPr>
    </w:p>
    <w:p w14:paraId="566FA384" w14:textId="77777777" w:rsidR="00835AD5" w:rsidRPr="00835AD5" w:rsidRDefault="00835AD5" w:rsidP="00835AD5">
      <w:pPr>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за процедура „Избор с Публична покана“ за определяне на изпълнители по проект „RESTORIVER - Устойчиво на климатичните промени, насочено към естественото задържане на вода възстановяване на речните брегове и крайбрежните зони, неблагоприятно засегнати от човешка намеса, по река Дунав и нейните притоци в Дунавския регион“ по Програма ИНТЕРРЕГ VI-Б Дунавски регион 2021-2027 г.</w:t>
      </w:r>
    </w:p>
    <w:p w14:paraId="13E0E396" w14:textId="77777777" w:rsidR="00835AD5" w:rsidRPr="00835AD5" w:rsidRDefault="00835AD5" w:rsidP="00835AD5">
      <w:pPr>
        <w:spacing w:after="0" w:line="240" w:lineRule="auto"/>
        <w:jc w:val="both"/>
        <w:rPr>
          <w:rFonts w:ascii="Times New Roman" w:eastAsia="Calibri" w:hAnsi="Times New Roman" w:cs="Times New Roman"/>
          <w:kern w:val="0"/>
          <w:sz w:val="24"/>
          <w:szCs w:val="24"/>
          <w:lang w:val="bg-BG"/>
          <w14:ligatures w14:val="none"/>
        </w:rPr>
      </w:pPr>
    </w:p>
    <w:p w14:paraId="3587A2CC" w14:textId="263DE58D" w:rsidR="00835AD5" w:rsidRPr="00835AD5" w:rsidRDefault="00835AD5" w:rsidP="00835AD5">
      <w:pPr>
        <w:spacing w:after="0" w:line="240" w:lineRule="auto"/>
        <w:jc w:val="both"/>
        <w:rPr>
          <w:rFonts w:ascii="Times New Roman" w:eastAsia="Calibri" w:hAnsi="Times New Roman" w:cs="Times New Roman"/>
          <w:b/>
          <w:kern w:val="0"/>
          <w:sz w:val="24"/>
          <w:szCs w:val="24"/>
          <w:lang w:val="bg-BG"/>
          <w14:ligatures w14:val="none"/>
        </w:rPr>
      </w:pPr>
      <w:r w:rsidRPr="00835AD5">
        <w:rPr>
          <w:rFonts w:ascii="Times New Roman" w:eastAsia="Calibri" w:hAnsi="Times New Roman" w:cs="Times New Roman"/>
          <w:b/>
          <w:kern w:val="0"/>
          <w:sz w:val="24"/>
          <w:szCs w:val="24"/>
          <w:lang w:val="bg-BG"/>
          <w14:ligatures w14:val="none"/>
        </w:rPr>
        <w:t>Обособена позиция № 1 – „Финансово и техническо управление на проекта“</w:t>
      </w:r>
    </w:p>
    <w:p w14:paraId="2F7D3384" w14:textId="77777777" w:rsidR="00835AD5" w:rsidRPr="00835AD5" w:rsidRDefault="00835AD5" w:rsidP="00835AD5">
      <w:pPr>
        <w:spacing w:after="0" w:line="240" w:lineRule="auto"/>
        <w:jc w:val="both"/>
        <w:rPr>
          <w:rFonts w:ascii="Times New Roman" w:eastAsia="Calibri" w:hAnsi="Times New Roman" w:cs="Times New Roman"/>
          <w:kern w:val="0"/>
          <w:sz w:val="24"/>
          <w:szCs w:val="24"/>
          <w:lang w:val="bg-BG"/>
          <w14:ligatures w14:val="none"/>
        </w:rPr>
      </w:pPr>
    </w:p>
    <w:p w14:paraId="712E2CC3" w14:textId="77777777" w:rsidR="00835AD5" w:rsidRPr="00835AD5" w:rsidRDefault="00835AD5" w:rsidP="00835AD5">
      <w:pPr>
        <w:spacing w:after="0" w:line="240" w:lineRule="auto"/>
        <w:jc w:val="both"/>
        <w:rPr>
          <w:rFonts w:ascii="Times New Roman" w:eastAsia="Calibri" w:hAnsi="Times New Roman" w:cs="Times New Roman"/>
          <w:b/>
          <w:kern w:val="0"/>
          <w:sz w:val="24"/>
          <w:szCs w:val="24"/>
          <w:lang w:val="bg-BG"/>
          <w14:ligatures w14:val="none"/>
        </w:rPr>
      </w:pPr>
      <w:r w:rsidRPr="00835AD5">
        <w:rPr>
          <w:rFonts w:ascii="Times New Roman" w:eastAsia="Calibri" w:hAnsi="Times New Roman" w:cs="Times New Roman"/>
          <w:b/>
          <w:kern w:val="0"/>
          <w:sz w:val="24"/>
          <w:szCs w:val="24"/>
          <w:lang w:val="bg-BG"/>
          <w14:ligatures w14:val="none"/>
        </w:rPr>
        <w:t>Обща информация</w:t>
      </w:r>
    </w:p>
    <w:p w14:paraId="13781E91" w14:textId="77777777" w:rsidR="00835AD5" w:rsidRPr="00835AD5" w:rsidRDefault="00835AD5" w:rsidP="00835AD5">
      <w:pPr>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RESTORIVER – “Устойчиво на климатичните промени, насочено към естественото задържане на вода възстановяване на речните брегове и крайбрежните зони, неблагоприятно засегнати от човешка намеса, по река Дунав и нейните притоци в Дунавския регион“ е един от одобрените проекти от 1-вата покана по Програмата "Дунавски регион", стартирала през 2023 г. Водещ партньор по проекта в 15-членно международно партньорство е Българското дружество за защита на птиците.</w:t>
      </w:r>
    </w:p>
    <w:p w14:paraId="02395F8B" w14:textId="77777777" w:rsidR="00835AD5" w:rsidRPr="00835AD5" w:rsidRDefault="00835AD5" w:rsidP="00835AD5">
      <w:pPr>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Проектът стартира през януари 2024 г. и завършва през юни 2026 г., като продължителността му е 30 месеца.</w:t>
      </w:r>
    </w:p>
    <w:p w14:paraId="6E131A2E" w14:textId="77777777" w:rsidR="00835AD5" w:rsidRPr="00835AD5" w:rsidRDefault="00835AD5" w:rsidP="00835AD5">
      <w:pPr>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Поради сложността на проекта и разнообразния състав и обем на партньорството, както и поради  необходимостта от максимално ефективно използване на капацитета на водещия партньор, който да поеме цялостното тематично ръководство и надзор, а не административното управление на партньорство от подобен мащаб, е необходим външен капацитет, който да подпомага водещия партньор в административното изпълнение на проекта с професионални услуги за техническо и финансово управление на проекти. Такива външни услуги са допустим разход съгласно насоките на Програмата за Дунавския регион и са включени в бюджета на водещия партньор, одобрен официално в подготвителната фаза на проекта.</w:t>
      </w:r>
    </w:p>
    <w:p w14:paraId="6DE049E0" w14:textId="77777777" w:rsidR="00835AD5" w:rsidRPr="00835AD5" w:rsidRDefault="00835AD5" w:rsidP="00835AD5">
      <w:pPr>
        <w:spacing w:after="0" w:line="240" w:lineRule="auto"/>
        <w:jc w:val="both"/>
        <w:rPr>
          <w:rFonts w:ascii="Times New Roman" w:eastAsia="Calibri" w:hAnsi="Times New Roman" w:cs="Times New Roman"/>
          <w:kern w:val="0"/>
          <w:sz w:val="24"/>
          <w:szCs w:val="24"/>
          <w:lang w:val="bg-BG"/>
          <w14:ligatures w14:val="none"/>
        </w:rPr>
      </w:pPr>
    </w:p>
    <w:p w14:paraId="507F0E2F" w14:textId="77777777" w:rsidR="00835AD5" w:rsidRPr="00835AD5" w:rsidRDefault="00835AD5" w:rsidP="00835AD5">
      <w:pPr>
        <w:tabs>
          <w:tab w:val="left" w:pos="284"/>
        </w:tabs>
        <w:spacing w:after="0" w:line="240" w:lineRule="auto"/>
        <w:jc w:val="both"/>
        <w:rPr>
          <w:rFonts w:ascii="Times New Roman" w:eastAsia="Calibri" w:hAnsi="Times New Roman" w:cs="Times New Roman"/>
          <w:b/>
          <w:kern w:val="0"/>
          <w:sz w:val="24"/>
          <w:szCs w:val="24"/>
          <w:lang w:val="bg-BG"/>
          <w14:ligatures w14:val="none"/>
        </w:rPr>
      </w:pPr>
      <w:r w:rsidRPr="00835AD5">
        <w:rPr>
          <w:rFonts w:ascii="Times New Roman" w:eastAsia="Calibri" w:hAnsi="Times New Roman" w:cs="Times New Roman"/>
          <w:b/>
          <w:kern w:val="0"/>
          <w:sz w:val="24"/>
          <w:szCs w:val="24"/>
          <w:lang w:val="bg-BG"/>
          <w14:ligatures w14:val="none"/>
        </w:rPr>
        <w:t>Основни съображения относно необходимостта от услугата техническо и финансово управление на проекта</w:t>
      </w:r>
    </w:p>
    <w:p w14:paraId="35500BFF"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Програмата „Дунавски регион“ подкрепя инициативи, които дават препоръки и решения за проблеми и предизвикателства от стратегическо значение за Европейския съюз. Основна характеристика на тези проекти е, че те се изпълняват съвместно от транснационални партньорства, в които вземат участие различни европейски държави от Дунавския регион. От тях се очаква да си сътрудничат по добре организиран и структуриран начин за изпълнение на целите, определени в проектопредложението (project's Application Form). Допълнителни фактори, които трябва да се вземат предвид при изпълнението на проекти по Дунавската програма, са:</w:t>
      </w:r>
    </w:p>
    <w:p w14:paraId="5AE91731"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w:t>
      </w:r>
      <w:r w:rsidRPr="00835AD5">
        <w:rPr>
          <w:rFonts w:ascii="Times New Roman" w:eastAsia="Calibri" w:hAnsi="Times New Roman" w:cs="Times New Roman"/>
          <w:kern w:val="0"/>
          <w:sz w:val="24"/>
          <w:szCs w:val="24"/>
          <w:lang w:val="bg-BG"/>
          <w14:ligatures w14:val="none"/>
        </w:rPr>
        <w:tab/>
        <w:t>специфичната рамка за изпълнение, определена от програмата, която се различава от другите програми за европейско териториално сътрудничество (ЕТС);</w:t>
      </w:r>
    </w:p>
    <w:p w14:paraId="3B2B9FAC"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w:t>
      </w:r>
      <w:r w:rsidRPr="00835AD5">
        <w:rPr>
          <w:rFonts w:ascii="Times New Roman" w:eastAsia="Calibri" w:hAnsi="Times New Roman" w:cs="Times New Roman"/>
          <w:kern w:val="0"/>
          <w:sz w:val="24"/>
          <w:szCs w:val="24"/>
          <w:lang w:val="bg-BG"/>
          <w14:ligatures w14:val="none"/>
        </w:rPr>
        <w:tab/>
        <w:t>рискът от гладко сътрудничество между различни участници с различно ниво на подготовка и познания, представляващи различни икономически сфери от различни видове институции;</w:t>
      </w:r>
    </w:p>
    <w:p w14:paraId="13996067"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w:t>
      </w:r>
      <w:r w:rsidRPr="00835AD5">
        <w:rPr>
          <w:rFonts w:ascii="Times New Roman" w:eastAsia="Calibri" w:hAnsi="Times New Roman" w:cs="Times New Roman"/>
          <w:kern w:val="0"/>
          <w:sz w:val="24"/>
          <w:szCs w:val="24"/>
          <w:lang w:val="bg-BG"/>
          <w14:ligatures w14:val="none"/>
        </w:rPr>
        <w:tab/>
        <w:t>специфичната особеност на проектите по 1-ва покана на Дунавската програма, които за първи път канят партньори извън ЕС като пълноправни партньори по проекта. Това изисква по-широка/разнообразна подкрепа за управление на проекта, поради различните регулаторни рамки на тези делегиращи държави.</w:t>
      </w:r>
    </w:p>
    <w:p w14:paraId="7E141DDD"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p>
    <w:p w14:paraId="14EDE0B2" w14:textId="77777777" w:rsidR="00835AD5" w:rsidRPr="00835AD5" w:rsidRDefault="00835AD5" w:rsidP="00835AD5">
      <w:pPr>
        <w:tabs>
          <w:tab w:val="left" w:pos="284"/>
        </w:tabs>
        <w:spacing w:after="0" w:line="240" w:lineRule="auto"/>
        <w:jc w:val="both"/>
        <w:rPr>
          <w:rFonts w:ascii="Times New Roman" w:eastAsia="Calibri" w:hAnsi="Times New Roman" w:cs="Times New Roman"/>
          <w:b/>
          <w:kern w:val="0"/>
          <w:sz w:val="24"/>
          <w:szCs w:val="24"/>
          <w:lang w:val="bg-BG"/>
          <w14:ligatures w14:val="none"/>
        </w:rPr>
      </w:pPr>
      <w:r w:rsidRPr="00835AD5">
        <w:rPr>
          <w:rFonts w:ascii="Times New Roman" w:eastAsia="Calibri" w:hAnsi="Times New Roman" w:cs="Times New Roman"/>
          <w:b/>
          <w:kern w:val="0"/>
          <w:sz w:val="24"/>
          <w:szCs w:val="24"/>
          <w:lang w:val="bg-BG"/>
          <w14:ligatures w14:val="none"/>
        </w:rPr>
        <w:lastRenderedPageBreak/>
        <w:t>Подробен списък на услугите за управление на проекти и финанси</w:t>
      </w:r>
    </w:p>
    <w:p w14:paraId="04D1B92D"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1.</w:t>
      </w:r>
      <w:r w:rsidRPr="00835AD5">
        <w:rPr>
          <w:rFonts w:ascii="Times New Roman" w:eastAsia="Calibri" w:hAnsi="Times New Roman" w:cs="Times New Roman"/>
          <w:kern w:val="0"/>
          <w:sz w:val="24"/>
          <w:szCs w:val="24"/>
          <w:lang w:val="bg-BG"/>
          <w14:ligatures w14:val="none"/>
        </w:rPr>
        <w:tab/>
        <w:t>Подкрепа в началната фаза на проекта</w:t>
      </w:r>
    </w:p>
    <w:p w14:paraId="7CB9A2C6"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Услугите, които трябва да се предоставят, са:</w:t>
      </w:r>
    </w:p>
    <w:p w14:paraId="78A6854E"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w:t>
      </w:r>
      <w:r w:rsidRPr="00835AD5">
        <w:rPr>
          <w:rFonts w:ascii="Times New Roman" w:eastAsia="Calibri" w:hAnsi="Times New Roman" w:cs="Times New Roman"/>
          <w:kern w:val="0"/>
          <w:sz w:val="24"/>
          <w:szCs w:val="24"/>
          <w:lang w:val="bg-BG"/>
          <w14:ligatures w14:val="none"/>
        </w:rPr>
        <w:tab/>
        <w:t>Изготвяне на подробен бюджет на проекта и план за изпълнение в съответствие с одобреното проектопредложение;</w:t>
      </w:r>
    </w:p>
    <w:p w14:paraId="2754F973"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w:t>
      </w:r>
      <w:r w:rsidRPr="00835AD5">
        <w:rPr>
          <w:rFonts w:ascii="Times New Roman" w:eastAsia="Calibri" w:hAnsi="Times New Roman" w:cs="Times New Roman"/>
          <w:kern w:val="0"/>
          <w:sz w:val="24"/>
          <w:szCs w:val="24"/>
          <w:lang w:val="bg-BG"/>
          <w14:ligatures w14:val="none"/>
        </w:rPr>
        <w:tab/>
        <w:t>Изготвяне на Ръководство за управление за партньорите и на Процедурен правилник за управителните органи по проекта;</w:t>
      </w:r>
    </w:p>
    <w:p w14:paraId="4BF9D7E7"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w:t>
      </w:r>
      <w:r w:rsidRPr="00835AD5">
        <w:rPr>
          <w:rFonts w:ascii="Times New Roman" w:eastAsia="Calibri" w:hAnsi="Times New Roman" w:cs="Times New Roman"/>
          <w:kern w:val="0"/>
          <w:sz w:val="24"/>
          <w:szCs w:val="24"/>
          <w:lang w:val="bg-BG"/>
          <w14:ligatures w14:val="none"/>
        </w:rPr>
        <w:tab/>
        <w:t>Създаване на вътрешна система за комуникация и документация на проекта с помощта на онлайн инструменти, които са достъпни за партньорите;</w:t>
      </w:r>
    </w:p>
    <w:p w14:paraId="4ADCA74A"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w:t>
      </w:r>
      <w:r w:rsidRPr="00835AD5">
        <w:rPr>
          <w:rFonts w:ascii="Times New Roman" w:eastAsia="Calibri" w:hAnsi="Times New Roman" w:cs="Times New Roman"/>
          <w:kern w:val="0"/>
          <w:sz w:val="24"/>
          <w:szCs w:val="24"/>
          <w:lang w:val="bg-BG"/>
          <w14:ligatures w14:val="none"/>
        </w:rPr>
        <w:tab/>
        <w:t>Подпомагане на водещия партньор при създаването на вътрешни структури за управление на проекта и вътрешна система за документиране на проекта;</w:t>
      </w:r>
    </w:p>
    <w:p w14:paraId="0E0AA1B8"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w:t>
      </w:r>
      <w:r w:rsidRPr="00835AD5">
        <w:rPr>
          <w:rFonts w:ascii="Times New Roman" w:eastAsia="Calibri" w:hAnsi="Times New Roman" w:cs="Times New Roman"/>
          <w:kern w:val="0"/>
          <w:sz w:val="24"/>
          <w:szCs w:val="24"/>
          <w:lang w:val="bg-BG"/>
          <w14:ligatures w14:val="none"/>
        </w:rPr>
        <w:tab/>
        <w:t>Провеждане на полудневно онлайн обучение за управление на проекта за екипа на водещия партньор;</w:t>
      </w:r>
    </w:p>
    <w:p w14:paraId="48EACF88" w14:textId="26F9F224"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w:t>
      </w:r>
      <w:r w:rsidRPr="00835AD5">
        <w:rPr>
          <w:rFonts w:ascii="Times New Roman" w:eastAsia="Calibri" w:hAnsi="Times New Roman" w:cs="Times New Roman"/>
          <w:kern w:val="0"/>
          <w:sz w:val="24"/>
          <w:szCs w:val="24"/>
          <w:lang w:val="bg-BG"/>
          <w14:ligatures w14:val="none"/>
        </w:rPr>
        <w:tab/>
        <w:t>Подкрепа при организирането на среща на проекта, на която се канят всички партньори и участници по проекта, като се представят основите на проекта и хода на 2,5-годишното му изпълнение;</w:t>
      </w:r>
    </w:p>
    <w:p w14:paraId="73287D61"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p>
    <w:p w14:paraId="735EDE6F"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2.</w:t>
      </w:r>
      <w:r w:rsidRPr="00835AD5">
        <w:rPr>
          <w:rFonts w:ascii="Times New Roman" w:eastAsia="Calibri" w:hAnsi="Times New Roman" w:cs="Times New Roman"/>
          <w:kern w:val="0"/>
          <w:sz w:val="24"/>
          <w:szCs w:val="24"/>
          <w:lang w:val="bg-BG"/>
          <w14:ligatures w14:val="none"/>
        </w:rPr>
        <w:tab/>
        <w:t>Услуги за текущото техническо управление на проекта</w:t>
      </w:r>
    </w:p>
    <w:p w14:paraId="19882D41"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Услугите, които трябва да се предоставят са:</w:t>
      </w:r>
    </w:p>
    <w:p w14:paraId="183CE3DE"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w:t>
      </w:r>
      <w:r w:rsidRPr="00835AD5">
        <w:rPr>
          <w:rFonts w:ascii="Times New Roman" w:eastAsia="Calibri" w:hAnsi="Times New Roman" w:cs="Times New Roman"/>
          <w:kern w:val="0"/>
          <w:sz w:val="24"/>
          <w:szCs w:val="24"/>
          <w:lang w:val="bg-BG"/>
          <w14:ligatures w14:val="none"/>
        </w:rPr>
        <w:tab/>
        <w:t>Работа с вътрешната система за комуникация и документация на проекта;</w:t>
      </w:r>
    </w:p>
    <w:p w14:paraId="72FE7989"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w:t>
      </w:r>
      <w:r w:rsidRPr="00835AD5">
        <w:rPr>
          <w:rFonts w:ascii="Times New Roman" w:eastAsia="Calibri" w:hAnsi="Times New Roman" w:cs="Times New Roman"/>
          <w:kern w:val="0"/>
          <w:sz w:val="24"/>
          <w:szCs w:val="24"/>
          <w:lang w:val="bg-BG"/>
          <w14:ligatures w14:val="none"/>
        </w:rPr>
        <w:tab/>
        <w:t>Управление на ежедневната комуникация с партньорството (електронна поща, онлайн конференции, двустранни и тристранни консултации и др.)</w:t>
      </w:r>
    </w:p>
    <w:p w14:paraId="27897E53"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w:t>
      </w:r>
      <w:r w:rsidRPr="00835AD5">
        <w:rPr>
          <w:rFonts w:ascii="Times New Roman" w:eastAsia="Calibri" w:hAnsi="Times New Roman" w:cs="Times New Roman"/>
          <w:kern w:val="0"/>
          <w:sz w:val="24"/>
          <w:szCs w:val="24"/>
          <w:lang w:val="bg-BG"/>
          <w14:ligatures w14:val="none"/>
        </w:rPr>
        <w:tab/>
        <w:t>Подкрепа при поддържане на връзка с органите на програмата;</w:t>
      </w:r>
    </w:p>
    <w:p w14:paraId="60BFEBE0"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w:t>
      </w:r>
      <w:r w:rsidRPr="00835AD5">
        <w:rPr>
          <w:rFonts w:ascii="Times New Roman" w:eastAsia="Calibri" w:hAnsi="Times New Roman" w:cs="Times New Roman"/>
          <w:kern w:val="0"/>
          <w:sz w:val="24"/>
          <w:szCs w:val="24"/>
          <w:lang w:val="bg-BG"/>
          <w14:ligatures w14:val="none"/>
        </w:rPr>
        <w:tab/>
        <w:t>Управление на промените в проекта (подготовка и изпълнение на официални процедури за искане на промени, включително преразглеждане на съответните документи по проекта);</w:t>
      </w:r>
    </w:p>
    <w:p w14:paraId="3DC8D348"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p>
    <w:p w14:paraId="5C5E4201"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3.</w:t>
      </w:r>
      <w:r w:rsidRPr="00835AD5">
        <w:rPr>
          <w:rFonts w:ascii="Times New Roman" w:eastAsia="Calibri" w:hAnsi="Times New Roman" w:cs="Times New Roman"/>
          <w:kern w:val="0"/>
          <w:sz w:val="24"/>
          <w:szCs w:val="24"/>
          <w:lang w:val="bg-BG"/>
          <w14:ligatures w14:val="none"/>
        </w:rPr>
        <w:tab/>
        <w:t>Услуги за текущо финансово управление</w:t>
      </w:r>
    </w:p>
    <w:p w14:paraId="2716F9D4"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Услугите, които трябва да се предоставят са:</w:t>
      </w:r>
    </w:p>
    <w:p w14:paraId="377B0F36"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w:t>
      </w:r>
      <w:r w:rsidRPr="00835AD5">
        <w:rPr>
          <w:rFonts w:ascii="Times New Roman" w:eastAsia="Calibri" w:hAnsi="Times New Roman" w:cs="Times New Roman"/>
          <w:kern w:val="0"/>
          <w:sz w:val="24"/>
          <w:szCs w:val="24"/>
          <w:lang w:val="bg-BG"/>
          <w14:ligatures w14:val="none"/>
        </w:rPr>
        <w:tab/>
        <w:t>Цялостно финансово управление;</w:t>
      </w:r>
    </w:p>
    <w:p w14:paraId="07035241"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w:t>
      </w:r>
      <w:r w:rsidRPr="00835AD5">
        <w:rPr>
          <w:rFonts w:ascii="Times New Roman" w:eastAsia="Calibri" w:hAnsi="Times New Roman" w:cs="Times New Roman"/>
          <w:kern w:val="0"/>
          <w:sz w:val="24"/>
          <w:szCs w:val="24"/>
          <w:lang w:val="bg-BG"/>
          <w14:ligatures w14:val="none"/>
        </w:rPr>
        <w:tab/>
        <w:t>Постоянна помощ и съвети за партньорите по проекта (ПП), относно изпълнението на техния бюджет в съответствие с регламентите на програмата и правилата за гъвкавост;</w:t>
      </w:r>
    </w:p>
    <w:p w14:paraId="25772D9B"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w:t>
      </w:r>
      <w:r w:rsidRPr="00835AD5">
        <w:rPr>
          <w:rFonts w:ascii="Times New Roman" w:eastAsia="Calibri" w:hAnsi="Times New Roman" w:cs="Times New Roman"/>
          <w:kern w:val="0"/>
          <w:sz w:val="24"/>
          <w:szCs w:val="24"/>
          <w:lang w:val="bg-BG"/>
          <w14:ligatures w14:val="none"/>
        </w:rPr>
        <w:tab/>
        <w:t>Мониторинг на бюджета и прогнозата за разходите;</w:t>
      </w:r>
    </w:p>
    <w:p w14:paraId="681D4A4E"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w:t>
      </w:r>
      <w:r w:rsidRPr="00835AD5">
        <w:rPr>
          <w:rFonts w:ascii="Times New Roman" w:eastAsia="Calibri" w:hAnsi="Times New Roman" w:cs="Times New Roman"/>
          <w:kern w:val="0"/>
          <w:sz w:val="24"/>
          <w:szCs w:val="24"/>
          <w:lang w:val="bg-BG"/>
          <w14:ligatures w14:val="none"/>
        </w:rPr>
        <w:tab/>
        <w:t>Създаване на система за вътрешен финансов контрол за всички ПП - разработване на вътрешна система, осигуряваща по-актуални данни от 6-месечните отчетни периоди, което ще даде възможност на водещия партньор да контролира и да взема решения, ако е необходима намеса(и). Тази дейност да бъде подкрепена от външния финансов мениджър чрез разработване на образец за вътрешен финансов мониторинг;</w:t>
      </w:r>
    </w:p>
    <w:p w14:paraId="46B8789D"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w:t>
      </w:r>
      <w:r w:rsidRPr="00835AD5">
        <w:rPr>
          <w:rFonts w:ascii="Times New Roman" w:eastAsia="Calibri" w:hAnsi="Times New Roman" w:cs="Times New Roman"/>
          <w:kern w:val="0"/>
          <w:sz w:val="24"/>
          <w:szCs w:val="24"/>
          <w:lang w:val="bg-BG"/>
          <w14:ligatures w14:val="none"/>
        </w:rPr>
        <w:tab/>
        <w:t>Събиране и проверка на вътрешните финансови отчети на ПП;</w:t>
      </w:r>
    </w:p>
    <w:p w14:paraId="2DF7F68E"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w:t>
      </w:r>
      <w:r w:rsidRPr="00835AD5">
        <w:rPr>
          <w:rFonts w:ascii="Times New Roman" w:eastAsia="Calibri" w:hAnsi="Times New Roman" w:cs="Times New Roman"/>
          <w:kern w:val="0"/>
          <w:sz w:val="24"/>
          <w:szCs w:val="24"/>
          <w:lang w:val="bg-BG"/>
          <w14:ligatures w14:val="none"/>
        </w:rPr>
        <w:tab/>
        <w:t>Връзка с ПП, относно финансовото им състояние чрез проследяване на отчетените и валидирани разходи на ПП. Проследява необходимостта и приемливостта на промени в бюджета. Тази дейност да бъде подкрепена от външния финансов мениджър чрез разработване на таблица за финансово проследяване, която да се актуализира редовно след всеки отчетен период;</w:t>
      </w:r>
    </w:p>
    <w:p w14:paraId="1CBA5F0F"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w:t>
      </w:r>
      <w:r w:rsidRPr="00835AD5">
        <w:rPr>
          <w:rFonts w:ascii="Times New Roman" w:eastAsia="Calibri" w:hAnsi="Times New Roman" w:cs="Times New Roman"/>
          <w:kern w:val="0"/>
          <w:sz w:val="24"/>
          <w:szCs w:val="24"/>
          <w:lang w:val="bg-BG"/>
          <w14:ligatures w14:val="none"/>
        </w:rPr>
        <w:tab/>
        <w:t>Мониторинг на промените в бюджета на проекта – проследяване на промените в бюджета на ниво партньор, както и кумулативните цифри на ниво проект, прилагане на правилата за гъвкавост на програмата, изготвяне, подаване и разясняване на Искане за промяна в бюджета. Тази дейност да бъде подкрепена от външния финансов мениджър чрез разработване на вътрешен образец за преразпределение на бюджета;</w:t>
      </w:r>
    </w:p>
    <w:p w14:paraId="34DD8224"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lastRenderedPageBreak/>
        <w:t>-</w:t>
      </w:r>
      <w:r w:rsidRPr="00835AD5">
        <w:rPr>
          <w:rFonts w:ascii="Times New Roman" w:eastAsia="Calibri" w:hAnsi="Times New Roman" w:cs="Times New Roman"/>
          <w:kern w:val="0"/>
          <w:sz w:val="24"/>
          <w:szCs w:val="24"/>
          <w:lang w:val="bg-BG"/>
          <w14:ligatures w14:val="none"/>
        </w:rPr>
        <w:tab/>
        <w:t>Осигуряване на непрекъснато бюро за помощ (help desk) от външния финансов мениджър.</w:t>
      </w:r>
    </w:p>
    <w:p w14:paraId="30D661B1"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p>
    <w:p w14:paraId="2B6E8923"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4.</w:t>
      </w:r>
      <w:r w:rsidRPr="00835AD5">
        <w:rPr>
          <w:rFonts w:ascii="Times New Roman" w:eastAsia="Calibri" w:hAnsi="Times New Roman" w:cs="Times New Roman"/>
          <w:kern w:val="0"/>
          <w:sz w:val="24"/>
          <w:szCs w:val="24"/>
          <w:lang w:val="bg-BG"/>
          <w14:ligatures w14:val="none"/>
        </w:rPr>
        <w:tab/>
        <w:t>Услуги за отчитане на ниво проект</w:t>
      </w:r>
    </w:p>
    <w:p w14:paraId="4A8FC248"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Услугите, които трябва да се предоставят са:</w:t>
      </w:r>
    </w:p>
    <w:p w14:paraId="081D1156"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Изпълнение на задачите за отчитане, определени от двустепенната система за отчитане на Програмата за Дунавски регион:</w:t>
      </w:r>
    </w:p>
    <w:p w14:paraId="5E2EC72A"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w:t>
      </w:r>
      <w:r w:rsidRPr="00835AD5">
        <w:rPr>
          <w:rFonts w:ascii="Times New Roman" w:eastAsia="Calibri" w:hAnsi="Times New Roman" w:cs="Times New Roman"/>
          <w:kern w:val="0"/>
          <w:sz w:val="24"/>
          <w:szCs w:val="24"/>
          <w:lang w:val="bg-BG"/>
          <w14:ligatures w14:val="none"/>
        </w:rPr>
        <w:tab/>
        <w:t>Подкрепа за съставянето на административната база за докладване в онлайн системата за мониторинг на Програма "Дунавски регион" (JEMS): събиране на необходимата информация от ПП и качването й в онлайн платформата;</w:t>
      </w:r>
    </w:p>
    <w:p w14:paraId="439B7591"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w:t>
      </w:r>
      <w:r w:rsidRPr="00835AD5">
        <w:rPr>
          <w:rFonts w:ascii="Times New Roman" w:eastAsia="Calibri" w:hAnsi="Times New Roman" w:cs="Times New Roman"/>
          <w:kern w:val="0"/>
          <w:sz w:val="24"/>
          <w:szCs w:val="24"/>
          <w:lang w:val="bg-BG"/>
          <w14:ligatures w14:val="none"/>
        </w:rPr>
        <w:tab/>
        <w:t>Контрол на качеството на отчетите на партньорско ниво за всеки отчетен период;</w:t>
      </w:r>
    </w:p>
    <w:p w14:paraId="3DFA1750"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w:t>
      </w:r>
      <w:r w:rsidRPr="00835AD5">
        <w:rPr>
          <w:rFonts w:ascii="Times New Roman" w:eastAsia="Calibri" w:hAnsi="Times New Roman" w:cs="Times New Roman"/>
          <w:kern w:val="0"/>
          <w:sz w:val="24"/>
          <w:szCs w:val="24"/>
          <w:lang w:val="bg-BG"/>
          <w14:ligatures w14:val="none"/>
        </w:rPr>
        <w:tab/>
        <w:t>Изготвяне на 5 доклада за напредъка на ниво проект;</w:t>
      </w:r>
    </w:p>
    <w:p w14:paraId="3E5D3786"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w:t>
      </w:r>
      <w:r w:rsidRPr="00835AD5">
        <w:rPr>
          <w:rFonts w:ascii="Times New Roman" w:eastAsia="Calibri" w:hAnsi="Times New Roman" w:cs="Times New Roman"/>
          <w:kern w:val="0"/>
          <w:sz w:val="24"/>
          <w:szCs w:val="24"/>
          <w:lang w:val="bg-BG"/>
          <w14:ligatures w14:val="none"/>
        </w:rPr>
        <w:tab/>
        <w:t>Разработване на образец за вътрешен отчет за напредъка, ако е необходимо;</w:t>
      </w:r>
    </w:p>
    <w:p w14:paraId="1927D2E5"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w:t>
      </w:r>
      <w:r w:rsidRPr="00835AD5">
        <w:rPr>
          <w:rFonts w:ascii="Times New Roman" w:eastAsia="Calibri" w:hAnsi="Times New Roman" w:cs="Times New Roman"/>
          <w:kern w:val="0"/>
          <w:sz w:val="24"/>
          <w:szCs w:val="24"/>
          <w:lang w:val="bg-BG"/>
          <w14:ligatures w14:val="none"/>
        </w:rPr>
        <w:tab/>
        <w:t>Насоки към партньорите относно задачите за докладване към националните контрольори (НК) и събиране на вътрешни доклади за напредъка на ПП, проверка, даване на обратна връзка, искане за корекция, ако е необходимо;</w:t>
      </w:r>
    </w:p>
    <w:p w14:paraId="27D24C0C"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w:t>
      </w:r>
      <w:r w:rsidRPr="00835AD5">
        <w:rPr>
          <w:rFonts w:ascii="Times New Roman" w:eastAsia="Calibri" w:hAnsi="Times New Roman" w:cs="Times New Roman"/>
          <w:kern w:val="0"/>
          <w:sz w:val="24"/>
          <w:szCs w:val="24"/>
          <w:lang w:val="bg-BG"/>
          <w14:ligatures w14:val="none"/>
        </w:rPr>
        <w:tab/>
        <w:t>Проверка на сканираната версия на документите на ПП за НК, искане на корекции, ако е необходимо;</w:t>
      </w:r>
    </w:p>
    <w:p w14:paraId="49BC2C52"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w:t>
      </w:r>
      <w:r w:rsidRPr="00835AD5">
        <w:rPr>
          <w:rFonts w:ascii="Times New Roman" w:eastAsia="Calibri" w:hAnsi="Times New Roman" w:cs="Times New Roman"/>
          <w:kern w:val="0"/>
          <w:sz w:val="24"/>
          <w:szCs w:val="24"/>
          <w:lang w:val="bg-BG"/>
          <w14:ligatures w14:val="none"/>
        </w:rPr>
        <w:tab/>
        <w:t>Съставяне на доклад за напредъка на ниво проект и подаване чрез онлайн системата на програмата (JEMS);</w:t>
      </w:r>
    </w:p>
    <w:p w14:paraId="52FD15F6"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w:t>
      </w:r>
      <w:r w:rsidRPr="00835AD5">
        <w:rPr>
          <w:rFonts w:ascii="Times New Roman" w:eastAsia="Calibri" w:hAnsi="Times New Roman" w:cs="Times New Roman"/>
          <w:kern w:val="0"/>
          <w:sz w:val="24"/>
          <w:szCs w:val="24"/>
          <w:lang w:val="bg-BG"/>
          <w14:ligatures w14:val="none"/>
        </w:rPr>
        <w:tab/>
        <w:t>Изготвяне на заявление за възстановяване на разходи въз основа на проверените разходи, отчетени във финансовата част на отчета по напредъка на проекта;</w:t>
      </w:r>
    </w:p>
    <w:p w14:paraId="524065D8"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w:t>
      </w:r>
      <w:r w:rsidRPr="00835AD5">
        <w:rPr>
          <w:rFonts w:ascii="Times New Roman" w:eastAsia="Calibri" w:hAnsi="Times New Roman" w:cs="Times New Roman"/>
          <w:kern w:val="0"/>
          <w:sz w:val="24"/>
          <w:szCs w:val="24"/>
          <w:lang w:val="bg-BG"/>
          <w14:ligatures w14:val="none"/>
        </w:rPr>
        <w:tab/>
        <w:t>Подготовка на 5 доклада за напредъка на ниво проект: събиране на необходимата информация от партньорите, изготвяне и управление на разясненията в онлайн системата;</w:t>
      </w:r>
    </w:p>
    <w:p w14:paraId="0B8FE364"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w:t>
      </w:r>
      <w:r w:rsidRPr="00835AD5">
        <w:rPr>
          <w:rFonts w:ascii="Times New Roman" w:eastAsia="Calibri" w:hAnsi="Times New Roman" w:cs="Times New Roman"/>
          <w:kern w:val="0"/>
          <w:sz w:val="24"/>
          <w:szCs w:val="24"/>
          <w:lang w:val="bg-BG"/>
          <w14:ligatures w14:val="none"/>
        </w:rPr>
        <w:tab/>
        <w:t>Подкрепа при разпределението и трансфера на средствата от Европейския фонд за регионално развитие;</w:t>
      </w:r>
    </w:p>
    <w:p w14:paraId="2A133797"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w:t>
      </w:r>
      <w:r w:rsidRPr="00835AD5">
        <w:rPr>
          <w:rFonts w:ascii="Times New Roman" w:eastAsia="Calibri" w:hAnsi="Times New Roman" w:cs="Times New Roman"/>
          <w:kern w:val="0"/>
          <w:sz w:val="24"/>
          <w:szCs w:val="24"/>
          <w:lang w:val="bg-BG"/>
          <w14:ligatures w14:val="none"/>
        </w:rPr>
        <w:tab/>
        <w:t>Изготвяне на 1 окончателен доклад (въз основа на информация от водещия партньор и партньорите по проекта) – събиране на необходимата информация от партньорите, изготвяне на доклада и управление на разясненията в онлайн системата.</w:t>
      </w:r>
    </w:p>
    <w:p w14:paraId="3E48618A" w14:textId="77777777" w:rsidR="00835AD5" w:rsidRPr="00835AD5" w:rsidRDefault="00835AD5" w:rsidP="00835AD5">
      <w:pPr>
        <w:spacing w:after="0" w:line="240" w:lineRule="auto"/>
        <w:jc w:val="both"/>
        <w:rPr>
          <w:rFonts w:ascii="Times New Roman" w:eastAsia="Calibri" w:hAnsi="Times New Roman" w:cs="Times New Roman"/>
          <w:kern w:val="0"/>
          <w:sz w:val="24"/>
          <w:szCs w:val="24"/>
          <w:lang w:val="bg-BG"/>
          <w14:ligatures w14:val="none"/>
        </w:rPr>
      </w:pPr>
    </w:p>
    <w:p w14:paraId="79D2C21F" w14:textId="77777777" w:rsidR="00835AD5" w:rsidRPr="00835AD5" w:rsidRDefault="00835AD5" w:rsidP="00835AD5">
      <w:pPr>
        <w:spacing w:after="0" w:line="240" w:lineRule="auto"/>
        <w:jc w:val="both"/>
        <w:rPr>
          <w:rFonts w:ascii="Times New Roman" w:eastAsia="Calibri" w:hAnsi="Times New Roman" w:cs="Times New Roman"/>
          <w:b/>
          <w:kern w:val="0"/>
          <w:sz w:val="24"/>
          <w:szCs w:val="24"/>
          <w:lang w:val="bg-BG"/>
          <w14:ligatures w14:val="none"/>
        </w:rPr>
      </w:pPr>
    </w:p>
    <w:p w14:paraId="256E1B0C" w14:textId="77777777" w:rsidR="00835AD5" w:rsidRPr="00835AD5" w:rsidRDefault="00835AD5" w:rsidP="00835AD5">
      <w:pPr>
        <w:spacing w:after="0" w:line="240" w:lineRule="auto"/>
        <w:jc w:val="both"/>
        <w:rPr>
          <w:rFonts w:ascii="Times New Roman" w:eastAsia="Calibri" w:hAnsi="Times New Roman" w:cs="Times New Roman"/>
          <w:b/>
          <w:kern w:val="0"/>
          <w:sz w:val="24"/>
          <w:szCs w:val="24"/>
          <w:lang w:val="bg-BG"/>
          <w14:ligatures w14:val="none"/>
        </w:rPr>
      </w:pPr>
      <w:r w:rsidRPr="00835AD5">
        <w:rPr>
          <w:rFonts w:ascii="Times New Roman" w:eastAsia="Calibri" w:hAnsi="Times New Roman" w:cs="Times New Roman"/>
          <w:b/>
          <w:kern w:val="0"/>
          <w:sz w:val="24"/>
          <w:szCs w:val="24"/>
          <w:lang w:val="bg-BG"/>
          <w14:ligatures w14:val="none"/>
        </w:rPr>
        <w:t>Обособена позиция №  2 – „Независими услуги по осигуряване на качеството на проекта“</w:t>
      </w:r>
    </w:p>
    <w:p w14:paraId="0C105189" w14:textId="77777777" w:rsidR="00835AD5" w:rsidRPr="00835AD5" w:rsidRDefault="00835AD5" w:rsidP="00835AD5">
      <w:pPr>
        <w:spacing w:after="0" w:line="240" w:lineRule="auto"/>
        <w:jc w:val="both"/>
        <w:rPr>
          <w:rFonts w:ascii="Times New Roman" w:eastAsia="Calibri" w:hAnsi="Times New Roman" w:cs="Times New Roman"/>
          <w:kern w:val="0"/>
          <w:sz w:val="24"/>
          <w:szCs w:val="24"/>
          <w:lang w:val="bg-BG"/>
          <w14:ligatures w14:val="none"/>
        </w:rPr>
      </w:pPr>
    </w:p>
    <w:p w14:paraId="6914B4C2" w14:textId="77777777" w:rsidR="00835AD5" w:rsidRPr="00835AD5" w:rsidRDefault="00835AD5" w:rsidP="00835AD5">
      <w:pPr>
        <w:spacing w:after="0" w:line="240" w:lineRule="auto"/>
        <w:jc w:val="both"/>
        <w:rPr>
          <w:rFonts w:ascii="Times New Roman" w:eastAsia="Calibri" w:hAnsi="Times New Roman" w:cs="Times New Roman"/>
          <w:b/>
          <w:kern w:val="0"/>
          <w:sz w:val="24"/>
          <w:szCs w:val="24"/>
          <w:lang w:val="bg-BG"/>
          <w14:ligatures w14:val="none"/>
        </w:rPr>
      </w:pPr>
      <w:r w:rsidRPr="00835AD5">
        <w:rPr>
          <w:rFonts w:ascii="Times New Roman" w:eastAsia="Calibri" w:hAnsi="Times New Roman" w:cs="Times New Roman"/>
          <w:b/>
          <w:kern w:val="0"/>
          <w:sz w:val="24"/>
          <w:szCs w:val="24"/>
          <w:lang w:val="bg-BG"/>
          <w14:ligatures w14:val="none"/>
        </w:rPr>
        <w:t>Обща информация</w:t>
      </w:r>
    </w:p>
    <w:p w14:paraId="5A6754F6" w14:textId="77777777" w:rsidR="00835AD5" w:rsidRPr="00835AD5" w:rsidRDefault="00835AD5" w:rsidP="00835AD5">
      <w:pPr>
        <w:tabs>
          <w:tab w:val="left" w:pos="284"/>
        </w:tabs>
        <w:autoSpaceDE w:val="0"/>
        <w:autoSpaceDN w:val="0"/>
        <w:adjustRightInd w:val="0"/>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RESTORIVER – “Устойчиво на климатичните промени, насочено към естественото задържане на вода възстановяване на речните брегове и крайбрежните зони, неблагоприятно засегнати от човешка намеса, по река Дунав и нейните притоци в Дунавския регион“ е един от одобрените проекти от 1-вата покана по Програмата "Дунавски регион", стартирала през 2023 г. Водещ партньор по проекта в 15-членно международно партньорство е Българското дружество за защита на птиците.</w:t>
      </w:r>
    </w:p>
    <w:p w14:paraId="49333D14" w14:textId="77777777" w:rsidR="00835AD5" w:rsidRPr="00835AD5" w:rsidRDefault="00835AD5" w:rsidP="00835AD5">
      <w:pPr>
        <w:tabs>
          <w:tab w:val="left" w:pos="284"/>
        </w:tabs>
        <w:autoSpaceDE w:val="0"/>
        <w:autoSpaceDN w:val="0"/>
        <w:adjustRightInd w:val="0"/>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Проектът стартира през януари 2024 г. и завършва през юни 2026 г., като продължителността му е 30 месеца.</w:t>
      </w:r>
    </w:p>
    <w:p w14:paraId="4DBB0EB1" w14:textId="77777777" w:rsidR="00835AD5" w:rsidRPr="00835AD5" w:rsidRDefault="00835AD5" w:rsidP="00835AD5">
      <w:pPr>
        <w:tabs>
          <w:tab w:val="left" w:pos="284"/>
        </w:tabs>
        <w:autoSpaceDE w:val="0"/>
        <w:autoSpaceDN w:val="0"/>
        <w:adjustRightInd w:val="0"/>
        <w:spacing w:after="0" w:line="240" w:lineRule="auto"/>
        <w:rPr>
          <w:rFonts w:ascii="Times New Roman" w:eastAsia="Calibri" w:hAnsi="Times New Roman" w:cs="Times New Roman"/>
          <w:kern w:val="0"/>
          <w:sz w:val="24"/>
          <w:szCs w:val="24"/>
          <w:lang w:val="bg-BG"/>
          <w14:ligatures w14:val="none"/>
        </w:rPr>
      </w:pPr>
    </w:p>
    <w:p w14:paraId="1C2F81C2"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Предварително заложено и задължително по програма "Дунавски регион" е партньорството да създаде ефективна структура за управление на осигуряване на качеството (QAM). Структурата за управление и осигуряване на качеството трябва да се управлява от независим експерт, който отговаря за:</w:t>
      </w:r>
    </w:p>
    <w:p w14:paraId="6591A0B4" w14:textId="77777777" w:rsidR="00835AD5" w:rsidRPr="00835AD5" w:rsidRDefault="00835AD5" w:rsidP="00835AD5">
      <w:pPr>
        <w:numPr>
          <w:ilvl w:val="0"/>
          <w:numId w:val="1"/>
        </w:numPr>
        <w:tabs>
          <w:tab w:val="left" w:pos="284"/>
        </w:tabs>
        <w:spacing w:after="0" w:line="240" w:lineRule="auto"/>
        <w:contextualSpacing/>
        <w:jc w:val="both"/>
        <w:rPr>
          <w:rFonts w:ascii="Times New Roman" w:eastAsia="Times New Roman" w:hAnsi="Times New Roman" w:cs="Times New Roman"/>
          <w:kern w:val="0"/>
          <w:sz w:val="24"/>
          <w:szCs w:val="24"/>
          <w:lang w:val="bg-BG"/>
          <w14:ligatures w14:val="none"/>
        </w:rPr>
      </w:pPr>
      <w:r w:rsidRPr="00835AD5">
        <w:rPr>
          <w:rFonts w:ascii="Times New Roman" w:eastAsia="Times New Roman" w:hAnsi="Times New Roman" w:cs="Times New Roman"/>
          <w:kern w:val="0"/>
          <w:sz w:val="24"/>
          <w:szCs w:val="24"/>
          <w:lang w:val="bg-BG"/>
          <w14:ligatures w14:val="none"/>
        </w:rPr>
        <w:lastRenderedPageBreak/>
        <w:t>проверка, анализ и преглед на резултатите от проекта (стратегии, решения и пилотни действия) от качествена гледна точка;</w:t>
      </w:r>
    </w:p>
    <w:p w14:paraId="1ECF0032" w14:textId="77777777" w:rsidR="00835AD5" w:rsidRPr="00835AD5" w:rsidRDefault="00835AD5" w:rsidP="00835AD5">
      <w:pPr>
        <w:numPr>
          <w:ilvl w:val="0"/>
          <w:numId w:val="1"/>
        </w:numPr>
        <w:tabs>
          <w:tab w:val="left" w:pos="284"/>
        </w:tabs>
        <w:spacing w:after="0" w:line="240" w:lineRule="auto"/>
        <w:contextualSpacing/>
        <w:jc w:val="both"/>
        <w:rPr>
          <w:rFonts w:ascii="Times New Roman" w:eastAsia="Times New Roman" w:hAnsi="Times New Roman" w:cs="Times New Roman"/>
          <w:kern w:val="0"/>
          <w:sz w:val="24"/>
          <w:szCs w:val="24"/>
          <w:lang w:val="bg-BG"/>
          <w14:ligatures w14:val="none"/>
        </w:rPr>
      </w:pPr>
      <w:r w:rsidRPr="00835AD5">
        <w:rPr>
          <w:rFonts w:ascii="Times New Roman" w:eastAsia="Times New Roman" w:hAnsi="Times New Roman" w:cs="Times New Roman"/>
          <w:kern w:val="0"/>
          <w:sz w:val="24"/>
          <w:szCs w:val="24"/>
          <w:lang w:val="bg-BG"/>
          <w14:ligatures w14:val="none"/>
        </w:rPr>
        <w:t>оценяване и валидиране на качеството на крайния резултат, чрез даване на писмено становище (включващо както положителни, така и отрицателни аспекти) под формата на окончателен доклад за качеството.</w:t>
      </w:r>
    </w:p>
    <w:p w14:paraId="064739BC" w14:textId="77777777" w:rsidR="00835AD5" w:rsidRPr="00835AD5" w:rsidRDefault="00835AD5" w:rsidP="00835AD5">
      <w:pPr>
        <w:tabs>
          <w:tab w:val="left" w:pos="284"/>
        </w:tabs>
        <w:autoSpaceDE w:val="0"/>
        <w:autoSpaceDN w:val="0"/>
        <w:adjustRightInd w:val="0"/>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Такива независими външни услуги са допустим разход, съгласно насоките на Програмата за Дунавския регион и са включени в бюджета на водещия партньор, одобрен официално в подготвителната фаза на проекта.</w:t>
      </w:r>
    </w:p>
    <w:p w14:paraId="757EA448"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p>
    <w:p w14:paraId="167146D5" w14:textId="77777777" w:rsidR="00835AD5" w:rsidRPr="00835AD5" w:rsidRDefault="00835AD5" w:rsidP="00835AD5">
      <w:pPr>
        <w:spacing w:after="0" w:line="240" w:lineRule="auto"/>
        <w:jc w:val="both"/>
        <w:rPr>
          <w:rFonts w:ascii="Times New Roman" w:eastAsia="Calibri" w:hAnsi="Times New Roman" w:cs="Times New Roman"/>
          <w:b/>
          <w:kern w:val="0"/>
          <w:sz w:val="24"/>
          <w:szCs w:val="24"/>
          <w:lang w:val="bg-BG"/>
          <w14:ligatures w14:val="none"/>
        </w:rPr>
      </w:pPr>
      <w:r w:rsidRPr="00835AD5">
        <w:rPr>
          <w:rFonts w:ascii="Times New Roman" w:eastAsia="Calibri" w:hAnsi="Times New Roman" w:cs="Times New Roman"/>
          <w:b/>
          <w:kern w:val="0"/>
          <w:sz w:val="24"/>
          <w:szCs w:val="24"/>
          <w:lang w:val="bg-BG"/>
          <w14:ligatures w14:val="none"/>
        </w:rPr>
        <w:t>Задача на ръководителя по осигуряване на качеството</w:t>
      </w:r>
    </w:p>
    <w:p w14:paraId="12B729C8"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Отговорност на независимия ръководител по осигуряване на качеството, назначен по проекта, е да гарантира, че резултатите предоставени от партньорството по проекта отговарят на достатъчно високо качество. В съответствие с това се очаква ръководителят по осигуряване на качеството, в тясно сътрудничество с водещия партньор по проекта, да изготви доклад за качеството на резултатите, който да бъде представен заедно с докладите за напредъка на проекта за съответния период, във връзка с всеки резултат от проекта, финализиран през този конкретен отчетен период.</w:t>
      </w:r>
    </w:p>
    <w:p w14:paraId="17CA8D50"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 xml:space="preserve">Първо, водещият партньор по проекта трябва да представи всеки финализиран резултат от проекта под формата на "информационни листове за резултатите" (Output factsheets), за които програмата "Дунавски регион" предоставя съответния образец като приложение към ръководството за изпълнение. Очаква се това описание да не е техническо, да е лесно за разбиране и да е достатъчно, за да информира широката общественост за резултата. </w:t>
      </w:r>
    </w:p>
    <w:p w14:paraId="509BFD9E"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В информационния лист се описват следните аспекти:</w:t>
      </w:r>
    </w:p>
    <w:p w14:paraId="0B5D8226" w14:textId="77777777" w:rsidR="00835AD5" w:rsidRPr="00835AD5" w:rsidRDefault="00835AD5" w:rsidP="00835AD5">
      <w:pPr>
        <w:numPr>
          <w:ilvl w:val="0"/>
          <w:numId w:val="2"/>
        </w:numPr>
        <w:tabs>
          <w:tab w:val="left" w:pos="284"/>
        </w:tabs>
        <w:spacing w:after="0" w:line="240" w:lineRule="auto"/>
        <w:contextualSpacing/>
        <w:jc w:val="both"/>
        <w:rPr>
          <w:rFonts w:ascii="Times New Roman" w:eastAsia="Times New Roman" w:hAnsi="Times New Roman" w:cs="Times New Roman"/>
          <w:kern w:val="0"/>
          <w:sz w:val="24"/>
          <w:szCs w:val="24"/>
          <w:lang w:val="bg-BG"/>
          <w14:ligatures w14:val="none"/>
        </w:rPr>
      </w:pPr>
      <w:r w:rsidRPr="00835AD5">
        <w:rPr>
          <w:rFonts w:ascii="Times New Roman" w:eastAsia="Times New Roman" w:hAnsi="Times New Roman" w:cs="Times New Roman"/>
          <w:kern w:val="0"/>
          <w:sz w:val="24"/>
          <w:szCs w:val="24"/>
          <w:lang w:val="bg-BG"/>
          <w14:ligatures w14:val="none"/>
        </w:rPr>
        <w:t>Общо описание на резултата;</w:t>
      </w:r>
    </w:p>
    <w:p w14:paraId="1D56A6ED" w14:textId="77777777" w:rsidR="00835AD5" w:rsidRPr="00835AD5" w:rsidRDefault="00835AD5" w:rsidP="00835AD5">
      <w:pPr>
        <w:numPr>
          <w:ilvl w:val="0"/>
          <w:numId w:val="2"/>
        </w:numPr>
        <w:tabs>
          <w:tab w:val="left" w:pos="284"/>
        </w:tabs>
        <w:spacing w:after="0" w:line="240" w:lineRule="auto"/>
        <w:contextualSpacing/>
        <w:jc w:val="both"/>
        <w:rPr>
          <w:rFonts w:ascii="Times New Roman" w:eastAsia="Times New Roman" w:hAnsi="Times New Roman" w:cs="Times New Roman"/>
          <w:kern w:val="0"/>
          <w:sz w:val="24"/>
          <w:szCs w:val="24"/>
          <w:lang w:val="bg-BG"/>
          <w14:ligatures w14:val="none"/>
        </w:rPr>
      </w:pPr>
      <w:r w:rsidRPr="00835AD5">
        <w:rPr>
          <w:rFonts w:ascii="Times New Roman" w:eastAsia="Times New Roman" w:hAnsi="Times New Roman" w:cs="Times New Roman"/>
          <w:kern w:val="0"/>
          <w:sz w:val="24"/>
          <w:szCs w:val="24"/>
          <w:lang w:val="bg-BG"/>
          <w14:ligatures w14:val="none"/>
        </w:rPr>
        <w:t>Как резултатът допринася за постигане на целите на Стратегия на ЕС за региона на река Дунав;</w:t>
      </w:r>
    </w:p>
    <w:p w14:paraId="204E91A4" w14:textId="77777777" w:rsidR="00835AD5" w:rsidRPr="00835AD5" w:rsidRDefault="00835AD5" w:rsidP="00835AD5">
      <w:pPr>
        <w:numPr>
          <w:ilvl w:val="0"/>
          <w:numId w:val="2"/>
        </w:numPr>
        <w:tabs>
          <w:tab w:val="left" w:pos="284"/>
        </w:tabs>
        <w:spacing w:after="0" w:line="240" w:lineRule="auto"/>
        <w:contextualSpacing/>
        <w:jc w:val="both"/>
        <w:rPr>
          <w:rFonts w:ascii="Times New Roman" w:eastAsia="Times New Roman" w:hAnsi="Times New Roman" w:cs="Times New Roman"/>
          <w:kern w:val="0"/>
          <w:sz w:val="24"/>
          <w:szCs w:val="24"/>
          <w:lang w:val="bg-BG"/>
          <w14:ligatures w14:val="none"/>
        </w:rPr>
      </w:pPr>
      <w:r w:rsidRPr="00835AD5">
        <w:rPr>
          <w:rFonts w:ascii="Times New Roman" w:eastAsia="Times New Roman" w:hAnsi="Times New Roman" w:cs="Times New Roman"/>
          <w:kern w:val="0"/>
          <w:sz w:val="24"/>
          <w:szCs w:val="24"/>
          <w:lang w:val="bg-BG"/>
          <w14:ligatures w14:val="none"/>
        </w:rPr>
        <w:t>Как (чрез кои дейности) и от кого (основните участници) е постигнат резултатa;</w:t>
      </w:r>
    </w:p>
    <w:p w14:paraId="0135F542" w14:textId="77777777" w:rsidR="00835AD5" w:rsidRPr="00835AD5" w:rsidRDefault="00835AD5" w:rsidP="00835AD5">
      <w:pPr>
        <w:numPr>
          <w:ilvl w:val="0"/>
          <w:numId w:val="2"/>
        </w:numPr>
        <w:tabs>
          <w:tab w:val="left" w:pos="284"/>
        </w:tabs>
        <w:spacing w:after="0" w:line="240" w:lineRule="auto"/>
        <w:contextualSpacing/>
        <w:jc w:val="both"/>
        <w:rPr>
          <w:rFonts w:ascii="Times New Roman" w:eastAsia="Times New Roman" w:hAnsi="Times New Roman" w:cs="Times New Roman"/>
          <w:kern w:val="0"/>
          <w:sz w:val="24"/>
          <w:szCs w:val="24"/>
          <w:lang w:val="bg-BG"/>
          <w14:ligatures w14:val="none"/>
        </w:rPr>
      </w:pPr>
      <w:r w:rsidRPr="00835AD5">
        <w:rPr>
          <w:rFonts w:ascii="Times New Roman" w:eastAsia="Times New Roman" w:hAnsi="Times New Roman" w:cs="Times New Roman"/>
          <w:kern w:val="0"/>
          <w:sz w:val="24"/>
          <w:szCs w:val="24"/>
          <w:lang w:val="bg-BG"/>
          <w14:ligatures w14:val="none"/>
        </w:rPr>
        <w:t>Как може да се използва резултата и от кого (целева група), каква е ползата и въздействието за целевите групи и целевата област/Дунавски регион;</w:t>
      </w:r>
    </w:p>
    <w:p w14:paraId="0E0E8CB1" w14:textId="77777777" w:rsidR="00835AD5" w:rsidRPr="00835AD5" w:rsidRDefault="00835AD5" w:rsidP="00835AD5">
      <w:pPr>
        <w:numPr>
          <w:ilvl w:val="0"/>
          <w:numId w:val="2"/>
        </w:numPr>
        <w:tabs>
          <w:tab w:val="left" w:pos="284"/>
        </w:tabs>
        <w:spacing w:after="0" w:line="240" w:lineRule="auto"/>
        <w:contextualSpacing/>
        <w:jc w:val="both"/>
        <w:rPr>
          <w:rFonts w:ascii="Times New Roman" w:eastAsia="Times New Roman" w:hAnsi="Times New Roman" w:cs="Times New Roman"/>
          <w:kern w:val="0"/>
          <w:sz w:val="24"/>
          <w:szCs w:val="24"/>
          <w:lang w:val="bg-BG"/>
          <w14:ligatures w14:val="none"/>
        </w:rPr>
      </w:pPr>
      <w:r w:rsidRPr="00835AD5">
        <w:rPr>
          <w:rFonts w:ascii="Times New Roman" w:eastAsia="Times New Roman" w:hAnsi="Times New Roman" w:cs="Times New Roman"/>
          <w:kern w:val="0"/>
          <w:sz w:val="24"/>
          <w:szCs w:val="24"/>
          <w:lang w:val="bg-BG"/>
          <w14:ligatures w14:val="none"/>
        </w:rPr>
        <w:t>Как може да се осигури устойчивост на резултатите и на кого и как ще бъдат предадени;</w:t>
      </w:r>
    </w:p>
    <w:p w14:paraId="5F38201E" w14:textId="77777777" w:rsidR="00835AD5" w:rsidRPr="00835AD5" w:rsidRDefault="00835AD5" w:rsidP="00835AD5">
      <w:pPr>
        <w:numPr>
          <w:ilvl w:val="0"/>
          <w:numId w:val="2"/>
        </w:numPr>
        <w:tabs>
          <w:tab w:val="left" w:pos="284"/>
        </w:tabs>
        <w:spacing w:after="0" w:line="240" w:lineRule="auto"/>
        <w:contextualSpacing/>
        <w:jc w:val="both"/>
        <w:rPr>
          <w:rFonts w:ascii="Times New Roman" w:eastAsia="Times New Roman" w:hAnsi="Times New Roman" w:cs="Times New Roman"/>
          <w:kern w:val="0"/>
          <w:sz w:val="24"/>
          <w:szCs w:val="24"/>
          <w:lang w:val="bg-BG"/>
          <w14:ligatures w14:val="none"/>
        </w:rPr>
      </w:pPr>
      <w:r w:rsidRPr="00835AD5">
        <w:rPr>
          <w:rFonts w:ascii="Times New Roman" w:eastAsia="Times New Roman" w:hAnsi="Times New Roman" w:cs="Times New Roman"/>
          <w:kern w:val="0"/>
          <w:sz w:val="24"/>
          <w:szCs w:val="24"/>
          <w:lang w:val="bg-BG"/>
          <w14:ligatures w14:val="none"/>
        </w:rPr>
        <w:t>Снимки, техническа документация, ако има такава;</w:t>
      </w:r>
    </w:p>
    <w:p w14:paraId="0734FEA0" w14:textId="77777777" w:rsidR="00835AD5" w:rsidRP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Информационните листове за резултатите, предоставени от водещия партньор, са входни данни за Докладите за качеството на резултатите, които се предоставят от независимия мениджър по осигуряване на качеството.</w:t>
      </w:r>
    </w:p>
    <w:p w14:paraId="1718E225" w14:textId="77777777" w:rsidR="00835AD5" w:rsidRDefault="00835AD5"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r w:rsidRPr="00835AD5">
        <w:rPr>
          <w:rFonts w:ascii="Times New Roman" w:eastAsia="Calibri" w:hAnsi="Times New Roman" w:cs="Times New Roman"/>
          <w:kern w:val="0"/>
          <w:sz w:val="24"/>
          <w:szCs w:val="24"/>
          <w:lang w:val="bg-BG"/>
          <w14:ligatures w14:val="none"/>
        </w:rPr>
        <w:t>От мениджъра по осигуряване на качеството се очаква да бъдат предоставени следните отчети за качеството на резултатите на проекта:</w:t>
      </w:r>
    </w:p>
    <w:p w14:paraId="2360F7DC" w14:textId="77777777" w:rsidR="009D64CB" w:rsidRPr="00835AD5" w:rsidRDefault="009D64CB" w:rsidP="00835AD5">
      <w:pPr>
        <w:tabs>
          <w:tab w:val="left" w:pos="284"/>
        </w:tabs>
        <w:spacing w:after="0" w:line="240" w:lineRule="auto"/>
        <w:jc w:val="both"/>
        <w:rPr>
          <w:rFonts w:ascii="Times New Roman" w:eastAsia="Calibri" w:hAnsi="Times New Roman" w:cs="Times New Roman"/>
          <w:kern w:val="0"/>
          <w:sz w:val="24"/>
          <w:szCs w:val="24"/>
          <w:lang w:val="bg-BG"/>
          <w14:ligatures w14:val="none"/>
        </w:rPr>
      </w:pPr>
    </w:p>
    <w:tbl>
      <w:tblPr>
        <w:tblStyle w:val="TableGrid"/>
        <w:tblW w:w="0" w:type="auto"/>
        <w:tblInd w:w="0" w:type="dxa"/>
        <w:tblLook w:val="04A0" w:firstRow="1" w:lastRow="0" w:firstColumn="1" w:lastColumn="0" w:noHBand="0" w:noVBand="1"/>
      </w:tblPr>
      <w:tblGrid>
        <w:gridCol w:w="2830"/>
        <w:gridCol w:w="4395"/>
        <w:gridCol w:w="1837"/>
      </w:tblGrid>
      <w:tr w:rsidR="00835AD5" w:rsidRPr="00835AD5" w14:paraId="2D922073" w14:textId="77777777" w:rsidTr="00835AD5">
        <w:tc>
          <w:tcPr>
            <w:tcW w:w="2830" w:type="dxa"/>
            <w:tcBorders>
              <w:top w:val="single" w:sz="4" w:space="0" w:color="auto"/>
              <w:left w:val="single" w:sz="4" w:space="0" w:color="auto"/>
              <w:bottom w:val="single" w:sz="4" w:space="0" w:color="auto"/>
              <w:right w:val="single" w:sz="4" w:space="0" w:color="auto"/>
            </w:tcBorders>
            <w:hideMark/>
          </w:tcPr>
          <w:p w14:paraId="30A86AC0" w14:textId="50F2746A" w:rsidR="00835AD5" w:rsidRPr="00835AD5" w:rsidRDefault="00A11422" w:rsidP="00835AD5">
            <w:pPr>
              <w:tabs>
                <w:tab w:val="left" w:pos="284"/>
              </w:tabs>
              <w:jc w:val="both"/>
              <w:rPr>
                <w:rFonts w:ascii="Times New Roman" w:hAnsi="Times New Roman"/>
                <w:b/>
                <w:bCs/>
                <w:kern w:val="0"/>
                <w:sz w:val="24"/>
                <w:szCs w:val="24"/>
                <w14:ligatures w14:val="none"/>
              </w:rPr>
            </w:pPr>
            <w:r>
              <w:rPr>
                <w:rFonts w:ascii="Times New Roman" w:hAnsi="Times New Roman"/>
                <w:b/>
                <w:bCs/>
                <w:kern w:val="0"/>
                <w:sz w:val="24"/>
                <w:szCs w:val="24"/>
                <w14:ligatures w14:val="none"/>
              </w:rPr>
              <w:t>№</w:t>
            </w:r>
          </w:p>
        </w:tc>
        <w:tc>
          <w:tcPr>
            <w:tcW w:w="4395" w:type="dxa"/>
            <w:tcBorders>
              <w:top w:val="single" w:sz="4" w:space="0" w:color="auto"/>
              <w:left w:val="single" w:sz="4" w:space="0" w:color="auto"/>
              <w:bottom w:val="single" w:sz="4" w:space="0" w:color="auto"/>
              <w:right w:val="single" w:sz="4" w:space="0" w:color="auto"/>
            </w:tcBorders>
            <w:hideMark/>
          </w:tcPr>
          <w:p w14:paraId="48142243" w14:textId="77777777" w:rsidR="00835AD5" w:rsidRPr="00835AD5" w:rsidRDefault="00835AD5" w:rsidP="00835AD5">
            <w:pPr>
              <w:tabs>
                <w:tab w:val="left" w:pos="284"/>
              </w:tabs>
              <w:jc w:val="both"/>
              <w:rPr>
                <w:rFonts w:ascii="Times New Roman" w:hAnsi="Times New Roman"/>
                <w:b/>
                <w:bCs/>
                <w:kern w:val="0"/>
                <w:sz w:val="24"/>
                <w:szCs w:val="24"/>
                <w14:ligatures w14:val="none"/>
              </w:rPr>
            </w:pPr>
            <w:r w:rsidRPr="00835AD5">
              <w:rPr>
                <w:rFonts w:ascii="Times New Roman" w:hAnsi="Times New Roman"/>
                <w:b/>
                <w:bCs/>
                <w:kern w:val="0"/>
                <w:sz w:val="24"/>
                <w:szCs w:val="24"/>
                <w14:ligatures w14:val="none"/>
              </w:rPr>
              <w:t>Заглавие на резултата (предмет на доклада за качеството)</w:t>
            </w:r>
          </w:p>
        </w:tc>
        <w:tc>
          <w:tcPr>
            <w:tcW w:w="1837" w:type="dxa"/>
            <w:tcBorders>
              <w:top w:val="single" w:sz="4" w:space="0" w:color="auto"/>
              <w:left w:val="single" w:sz="4" w:space="0" w:color="auto"/>
              <w:bottom w:val="single" w:sz="4" w:space="0" w:color="auto"/>
              <w:right w:val="single" w:sz="4" w:space="0" w:color="auto"/>
            </w:tcBorders>
            <w:hideMark/>
          </w:tcPr>
          <w:p w14:paraId="47734E5D" w14:textId="77777777" w:rsidR="00835AD5" w:rsidRPr="00835AD5" w:rsidRDefault="00835AD5" w:rsidP="00835AD5">
            <w:pPr>
              <w:tabs>
                <w:tab w:val="left" w:pos="284"/>
              </w:tabs>
              <w:jc w:val="both"/>
              <w:rPr>
                <w:rFonts w:ascii="Times New Roman" w:hAnsi="Times New Roman"/>
                <w:b/>
                <w:bCs/>
                <w:kern w:val="0"/>
                <w:sz w:val="24"/>
                <w:szCs w:val="24"/>
                <w14:ligatures w14:val="none"/>
              </w:rPr>
            </w:pPr>
            <w:r w:rsidRPr="00835AD5">
              <w:rPr>
                <w:rFonts w:ascii="Times New Roman" w:hAnsi="Times New Roman"/>
                <w:b/>
                <w:bCs/>
                <w:kern w:val="0"/>
                <w:sz w:val="24"/>
                <w:szCs w:val="24"/>
                <w14:ligatures w14:val="none"/>
              </w:rPr>
              <w:t>Период за предоставяне</w:t>
            </w:r>
          </w:p>
        </w:tc>
      </w:tr>
      <w:tr w:rsidR="00835AD5" w:rsidRPr="00835AD5" w14:paraId="2C42C175" w14:textId="77777777" w:rsidTr="00835AD5">
        <w:tc>
          <w:tcPr>
            <w:tcW w:w="2830" w:type="dxa"/>
            <w:tcBorders>
              <w:top w:val="single" w:sz="4" w:space="0" w:color="auto"/>
              <w:left w:val="single" w:sz="4" w:space="0" w:color="auto"/>
              <w:bottom w:val="single" w:sz="4" w:space="0" w:color="auto"/>
              <w:right w:val="single" w:sz="4" w:space="0" w:color="auto"/>
            </w:tcBorders>
            <w:hideMark/>
          </w:tcPr>
          <w:p w14:paraId="59F3AD5F" w14:textId="77777777" w:rsidR="00835AD5" w:rsidRPr="00835AD5" w:rsidRDefault="00835AD5" w:rsidP="00835AD5">
            <w:pPr>
              <w:tabs>
                <w:tab w:val="left" w:pos="284"/>
              </w:tabs>
              <w:jc w:val="both"/>
              <w:rPr>
                <w:rFonts w:ascii="Times New Roman" w:hAnsi="Times New Roman"/>
                <w:kern w:val="0"/>
                <w:sz w:val="24"/>
                <w:szCs w:val="24"/>
                <w14:ligatures w14:val="none"/>
              </w:rPr>
            </w:pPr>
            <w:r w:rsidRPr="00835AD5">
              <w:rPr>
                <w:rFonts w:ascii="Times New Roman" w:hAnsi="Times New Roman"/>
                <w:kern w:val="0"/>
                <w:sz w:val="24"/>
                <w:szCs w:val="24"/>
                <w14:ligatures w14:val="none"/>
              </w:rPr>
              <w:t>Доклад за качество на резултат №1, свързан с Резултат 1.1.</w:t>
            </w:r>
          </w:p>
        </w:tc>
        <w:tc>
          <w:tcPr>
            <w:tcW w:w="4395" w:type="dxa"/>
            <w:tcBorders>
              <w:top w:val="single" w:sz="4" w:space="0" w:color="auto"/>
              <w:left w:val="single" w:sz="4" w:space="0" w:color="auto"/>
              <w:bottom w:val="single" w:sz="4" w:space="0" w:color="auto"/>
              <w:right w:val="single" w:sz="4" w:space="0" w:color="auto"/>
            </w:tcBorders>
            <w:hideMark/>
          </w:tcPr>
          <w:p w14:paraId="744F0E4B" w14:textId="77777777" w:rsidR="00835AD5" w:rsidRPr="00835AD5" w:rsidRDefault="00835AD5" w:rsidP="00835AD5">
            <w:pPr>
              <w:tabs>
                <w:tab w:val="left" w:pos="284"/>
              </w:tabs>
              <w:jc w:val="both"/>
              <w:rPr>
                <w:rFonts w:ascii="Times New Roman" w:hAnsi="Times New Roman"/>
                <w:kern w:val="0"/>
                <w:sz w:val="24"/>
                <w:szCs w:val="24"/>
                <w14:ligatures w14:val="none"/>
              </w:rPr>
            </w:pPr>
            <w:r w:rsidRPr="00835AD5">
              <w:rPr>
                <w:rFonts w:ascii="Times New Roman" w:hAnsi="Times New Roman"/>
                <w:kern w:val="0"/>
                <w:sz w:val="24"/>
                <w:szCs w:val="24"/>
                <w14:ligatures w14:val="none"/>
              </w:rPr>
              <w:t>Партньори по проекта и асоциирани стратегически партньори, които си сътрудничат официално през границите;</w:t>
            </w:r>
          </w:p>
        </w:tc>
        <w:tc>
          <w:tcPr>
            <w:tcW w:w="1837" w:type="dxa"/>
            <w:tcBorders>
              <w:top w:val="single" w:sz="4" w:space="0" w:color="auto"/>
              <w:left w:val="single" w:sz="4" w:space="0" w:color="auto"/>
              <w:bottom w:val="single" w:sz="4" w:space="0" w:color="auto"/>
              <w:right w:val="single" w:sz="4" w:space="0" w:color="auto"/>
            </w:tcBorders>
            <w:hideMark/>
          </w:tcPr>
          <w:p w14:paraId="17E44BF5" w14:textId="77777777" w:rsidR="00835AD5" w:rsidRPr="00835AD5" w:rsidRDefault="00835AD5" w:rsidP="00835AD5">
            <w:pPr>
              <w:tabs>
                <w:tab w:val="left" w:pos="284"/>
              </w:tabs>
              <w:jc w:val="both"/>
              <w:rPr>
                <w:rFonts w:ascii="Times New Roman" w:hAnsi="Times New Roman"/>
                <w:kern w:val="0"/>
                <w:sz w:val="24"/>
                <w:szCs w:val="24"/>
                <w14:ligatures w14:val="none"/>
              </w:rPr>
            </w:pPr>
            <w:r w:rsidRPr="00835AD5">
              <w:rPr>
                <w:rFonts w:ascii="Times New Roman" w:hAnsi="Times New Roman"/>
                <w:kern w:val="0"/>
                <w:sz w:val="24"/>
                <w:szCs w:val="24"/>
                <w14:ligatures w14:val="none"/>
              </w:rPr>
              <w:t xml:space="preserve">Период 5 (1 </w:t>
            </w:r>
            <w:r w:rsidRPr="00835AD5">
              <w:rPr>
                <w:rFonts w:ascii="Times New Roman" w:hAnsi="Times New Roman"/>
                <w:kern w:val="0"/>
                <w:sz w:val="24"/>
                <w:szCs w:val="24"/>
                <w:vertAlign w:val="superscript"/>
                <w14:ligatures w14:val="none"/>
              </w:rPr>
              <w:t xml:space="preserve">-ва </w:t>
            </w:r>
            <w:r w:rsidRPr="00835AD5">
              <w:rPr>
                <w:rFonts w:ascii="Times New Roman" w:hAnsi="Times New Roman"/>
                <w:kern w:val="0"/>
                <w:sz w:val="24"/>
                <w:szCs w:val="24"/>
                <w14:ligatures w14:val="none"/>
              </w:rPr>
              <w:t>половина на 2026 г.)</w:t>
            </w:r>
          </w:p>
        </w:tc>
      </w:tr>
      <w:tr w:rsidR="00835AD5" w:rsidRPr="00835AD5" w14:paraId="52DE5F32" w14:textId="77777777" w:rsidTr="00835AD5">
        <w:tc>
          <w:tcPr>
            <w:tcW w:w="2830" w:type="dxa"/>
            <w:tcBorders>
              <w:top w:val="single" w:sz="4" w:space="0" w:color="auto"/>
              <w:left w:val="single" w:sz="4" w:space="0" w:color="auto"/>
              <w:bottom w:val="single" w:sz="4" w:space="0" w:color="auto"/>
              <w:right w:val="single" w:sz="4" w:space="0" w:color="auto"/>
            </w:tcBorders>
            <w:hideMark/>
          </w:tcPr>
          <w:p w14:paraId="18047BF9" w14:textId="3AE86877" w:rsidR="00835AD5" w:rsidRPr="00835AD5" w:rsidRDefault="00835AD5" w:rsidP="00835AD5">
            <w:pPr>
              <w:tabs>
                <w:tab w:val="left" w:pos="284"/>
              </w:tabs>
              <w:jc w:val="both"/>
              <w:rPr>
                <w:rFonts w:ascii="Times New Roman" w:hAnsi="Times New Roman"/>
                <w:kern w:val="0"/>
                <w:sz w:val="24"/>
                <w:szCs w:val="24"/>
                <w14:ligatures w14:val="none"/>
              </w:rPr>
            </w:pPr>
            <w:r w:rsidRPr="00835AD5">
              <w:rPr>
                <w:rFonts w:ascii="Times New Roman" w:hAnsi="Times New Roman"/>
                <w:kern w:val="0"/>
                <w:sz w:val="24"/>
                <w:szCs w:val="24"/>
                <w14:ligatures w14:val="none"/>
              </w:rPr>
              <w:t xml:space="preserve">Доклад за качество на резултат </w:t>
            </w:r>
            <w:r w:rsidR="00A11422">
              <w:rPr>
                <w:rFonts w:ascii="Times New Roman" w:hAnsi="Times New Roman"/>
                <w:kern w:val="0"/>
                <w:sz w:val="24"/>
                <w:szCs w:val="24"/>
                <w14:ligatures w14:val="none"/>
              </w:rPr>
              <w:t>№</w:t>
            </w:r>
            <w:r w:rsidRPr="00835AD5">
              <w:rPr>
                <w:rFonts w:ascii="Times New Roman" w:hAnsi="Times New Roman"/>
                <w:kern w:val="0"/>
                <w:sz w:val="24"/>
                <w:szCs w:val="24"/>
                <w14:ligatures w14:val="none"/>
              </w:rPr>
              <w:t>2</w:t>
            </w:r>
            <w:r w:rsidR="00A11422">
              <w:rPr>
                <w:rFonts w:ascii="Times New Roman" w:hAnsi="Times New Roman"/>
                <w:kern w:val="0"/>
                <w:sz w:val="24"/>
                <w:szCs w:val="24"/>
                <w14:ligatures w14:val="none"/>
              </w:rPr>
              <w:t xml:space="preserve">, </w:t>
            </w:r>
            <w:r w:rsidRPr="00835AD5">
              <w:rPr>
                <w:rFonts w:ascii="Times New Roman" w:hAnsi="Times New Roman"/>
                <w:kern w:val="0"/>
                <w:sz w:val="24"/>
                <w:szCs w:val="24"/>
                <w14:ligatures w14:val="none"/>
              </w:rPr>
              <w:t>свързано с Резултат 2.1.</w:t>
            </w:r>
          </w:p>
        </w:tc>
        <w:tc>
          <w:tcPr>
            <w:tcW w:w="4395" w:type="dxa"/>
            <w:tcBorders>
              <w:top w:val="single" w:sz="4" w:space="0" w:color="auto"/>
              <w:left w:val="single" w:sz="4" w:space="0" w:color="auto"/>
              <w:bottom w:val="single" w:sz="4" w:space="0" w:color="auto"/>
              <w:right w:val="single" w:sz="4" w:space="0" w:color="auto"/>
            </w:tcBorders>
            <w:hideMark/>
          </w:tcPr>
          <w:p w14:paraId="7F14CA75" w14:textId="77777777" w:rsidR="00835AD5" w:rsidRPr="00835AD5" w:rsidRDefault="00835AD5" w:rsidP="00835AD5">
            <w:pPr>
              <w:tabs>
                <w:tab w:val="left" w:pos="284"/>
              </w:tabs>
              <w:jc w:val="both"/>
              <w:rPr>
                <w:rFonts w:ascii="Times New Roman" w:hAnsi="Times New Roman"/>
                <w:kern w:val="0"/>
                <w:sz w:val="24"/>
                <w:szCs w:val="24"/>
                <w14:ligatures w14:val="none"/>
              </w:rPr>
            </w:pPr>
            <w:r w:rsidRPr="00835AD5">
              <w:rPr>
                <w:rFonts w:ascii="Times New Roman" w:hAnsi="Times New Roman"/>
                <w:kern w:val="0"/>
                <w:sz w:val="24"/>
                <w:szCs w:val="24"/>
                <w14:ligatures w14:val="none"/>
              </w:rPr>
              <w:t xml:space="preserve">Прилагане на съвместно разработени, осъществими и имащи влияние интервенции за естествено задържане на вода, включително дребномащабни полеви мерки с висок демонстрационен потенциал, включени в пилотните </w:t>
            </w:r>
            <w:r w:rsidRPr="00835AD5">
              <w:rPr>
                <w:rFonts w:ascii="Times New Roman" w:hAnsi="Times New Roman"/>
                <w:kern w:val="0"/>
                <w:sz w:val="24"/>
                <w:szCs w:val="24"/>
                <w14:ligatures w14:val="none"/>
              </w:rPr>
              <w:lastRenderedPageBreak/>
              <w:t>доклади;</w:t>
            </w:r>
          </w:p>
        </w:tc>
        <w:tc>
          <w:tcPr>
            <w:tcW w:w="1837" w:type="dxa"/>
            <w:tcBorders>
              <w:top w:val="single" w:sz="4" w:space="0" w:color="auto"/>
              <w:left w:val="single" w:sz="4" w:space="0" w:color="auto"/>
              <w:bottom w:val="single" w:sz="4" w:space="0" w:color="auto"/>
              <w:right w:val="single" w:sz="4" w:space="0" w:color="auto"/>
            </w:tcBorders>
            <w:hideMark/>
          </w:tcPr>
          <w:p w14:paraId="5BA7E3E3" w14:textId="77777777" w:rsidR="00835AD5" w:rsidRPr="00835AD5" w:rsidRDefault="00835AD5" w:rsidP="00835AD5">
            <w:pPr>
              <w:tabs>
                <w:tab w:val="left" w:pos="284"/>
              </w:tabs>
              <w:jc w:val="both"/>
              <w:rPr>
                <w:rFonts w:ascii="Times New Roman" w:hAnsi="Times New Roman"/>
                <w:kern w:val="0"/>
                <w:sz w:val="24"/>
                <w:szCs w:val="24"/>
                <w14:ligatures w14:val="none"/>
              </w:rPr>
            </w:pPr>
            <w:r w:rsidRPr="00835AD5">
              <w:rPr>
                <w:rFonts w:ascii="Times New Roman" w:hAnsi="Times New Roman"/>
                <w:kern w:val="0"/>
                <w:sz w:val="24"/>
                <w:szCs w:val="24"/>
                <w14:ligatures w14:val="none"/>
              </w:rPr>
              <w:lastRenderedPageBreak/>
              <w:t xml:space="preserve">Период 5 (1 </w:t>
            </w:r>
            <w:r w:rsidRPr="00835AD5">
              <w:rPr>
                <w:rFonts w:ascii="Times New Roman" w:hAnsi="Times New Roman"/>
                <w:kern w:val="0"/>
                <w:sz w:val="24"/>
                <w:szCs w:val="24"/>
                <w:vertAlign w:val="superscript"/>
                <w14:ligatures w14:val="none"/>
              </w:rPr>
              <w:t xml:space="preserve">-ва </w:t>
            </w:r>
            <w:r w:rsidRPr="00835AD5">
              <w:rPr>
                <w:rFonts w:ascii="Times New Roman" w:hAnsi="Times New Roman"/>
                <w:kern w:val="0"/>
                <w:sz w:val="24"/>
                <w:szCs w:val="24"/>
                <w14:ligatures w14:val="none"/>
              </w:rPr>
              <w:t>половина на 2026 г.)</w:t>
            </w:r>
          </w:p>
        </w:tc>
      </w:tr>
      <w:tr w:rsidR="00835AD5" w:rsidRPr="00835AD5" w14:paraId="47D96216" w14:textId="77777777" w:rsidTr="00835AD5">
        <w:tc>
          <w:tcPr>
            <w:tcW w:w="2830" w:type="dxa"/>
            <w:tcBorders>
              <w:top w:val="single" w:sz="4" w:space="0" w:color="auto"/>
              <w:left w:val="single" w:sz="4" w:space="0" w:color="auto"/>
              <w:bottom w:val="single" w:sz="4" w:space="0" w:color="auto"/>
              <w:right w:val="single" w:sz="4" w:space="0" w:color="auto"/>
            </w:tcBorders>
            <w:hideMark/>
          </w:tcPr>
          <w:p w14:paraId="37F6D1F0" w14:textId="77777777" w:rsidR="00835AD5" w:rsidRPr="00835AD5" w:rsidRDefault="00835AD5" w:rsidP="00835AD5">
            <w:pPr>
              <w:tabs>
                <w:tab w:val="left" w:pos="284"/>
              </w:tabs>
              <w:jc w:val="both"/>
              <w:rPr>
                <w:rFonts w:ascii="Times New Roman" w:hAnsi="Times New Roman"/>
                <w:kern w:val="0"/>
                <w:sz w:val="24"/>
                <w:szCs w:val="24"/>
                <w14:ligatures w14:val="none"/>
              </w:rPr>
            </w:pPr>
            <w:r w:rsidRPr="00835AD5">
              <w:rPr>
                <w:rFonts w:ascii="Times New Roman" w:hAnsi="Times New Roman"/>
                <w:kern w:val="0"/>
                <w:sz w:val="24"/>
                <w:szCs w:val="24"/>
                <w14:ligatures w14:val="none"/>
              </w:rPr>
              <w:t>Доклад за качество на резултат №3. свързано с Резултат 2.2.</w:t>
            </w:r>
          </w:p>
        </w:tc>
        <w:tc>
          <w:tcPr>
            <w:tcW w:w="4395" w:type="dxa"/>
            <w:tcBorders>
              <w:top w:val="single" w:sz="4" w:space="0" w:color="auto"/>
              <w:left w:val="single" w:sz="4" w:space="0" w:color="auto"/>
              <w:bottom w:val="single" w:sz="4" w:space="0" w:color="auto"/>
              <w:right w:val="single" w:sz="4" w:space="0" w:color="auto"/>
            </w:tcBorders>
            <w:hideMark/>
          </w:tcPr>
          <w:p w14:paraId="12E0B6B0" w14:textId="77777777" w:rsidR="00835AD5" w:rsidRPr="00835AD5" w:rsidRDefault="00835AD5" w:rsidP="00835AD5">
            <w:pPr>
              <w:tabs>
                <w:tab w:val="left" w:pos="284"/>
              </w:tabs>
              <w:jc w:val="both"/>
              <w:rPr>
                <w:rFonts w:ascii="Times New Roman" w:hAnsi="Times New Roman"/>
                <w:kern w:val="0"/>
                <w:sz w:val="24"/>
                <w:szCs w:val="24"/>
                <w14:ligatures w14:val="none"/>
              </w:rPr>
            </w:pPr>
            <w:r w:rsidRPr="00835AD5">
              <w:rPr>
                <w:rFonts w:ascii="Times New Roman" w:hAnsi="Times New Roman"/>
                <w:kern w:val="0"/>
                <w:sz w:val="24"/>
                <w:szCs w:val="24"/>
                <w14:ligatures w14:val="none"/>
              </w:rPr>
              <w:t>Решения, тествани и валидирани чрез пилотни действия по време на проекта, които имат потенциал да се репликират и използват от трети</w:t>
            </w:r>
            <w:r w:rsidRPr="00835AD5">
              <w:rPr>
                <w:rFonts w:ascii="Times New Roman" w:hAnsi="Times New Roman"/>
                <w:kern w:val="0"/>
                <w:sz w:val="24"/>
                <w:szCs w:val="24"/>
                <w:vertAlign w:val="superscript"/>
                <w14:ligatures w14:val="none"/>
              </w:rPr>
              <w:t xml:space="preserve"> </w:t>
            </w:r>
            <w:r w:rsidRPr="00835AD5">
              <w:rPr>
                <w:rFonts w:ascii="Times New Roman" w:hAnsi="Times New Roman"/>
                <w:kern w:val="0"/>
                <w:sz w:val="24"/>
                <w:szCs w:val="24"/>
                <w14:ligatures w14:val="none"/>
              </w:rPr>
              <w:t>страни;</w:t>
            </w:r>
          </w:p>
        </w:tc>
        <w:tc>
          <w:tcPr>
            <w:tcW w:w="1837" w:type="dxa"/>
            <w:tcBorders>
              <w:top w:val="single" w:sz="4" w:space="0" w:color="auto"/>
              <w:left w:val="single" w:sz="4" w:space="0" w:color="auto"/>
              <w:bottom w:val="single" w:sz="4" w:space="0" w:color="auto"/>
              <w:right w:val="single" w:sz="4" w:space="0" w:color="auto"/>
            </w:tcBorders>
            <w:hideMark/>
          </w:tcPr>
          <w:p w14:paraId="51CD30E3" w14:textId="77777777" w:rsidR="00835AD5" w:rsidRPr="00835AD5" w:rsidRDefault="00835AD5" w:rsidP="00835AD5">
            <w:pPr>
              <w:tabs>
                <w:tab w:val="left" w:pos="284"/>
              </w:tabs>
              <w:jc w:val="both"/>
              <w:rPr>
                <w:rFonts w:ascii="Times New Roman" w:hAnsi="Times New Roman"/>
                <w:kern w:val="0"/>
                <w:sz w:val="24"/>
                <w:szCs w:val="24"/>
                <w14:ligatures w14:val="none"/>
              </w:rPr>
            </w:pPr>
            <w:r w:rsidRPr="00835AD5">
              <w:rPr>
                <w:rFonts w:ascii="Times New Roman" w:hAnsi="Times New Roman"/>
                <w:kern w:val="0"/>
                <w:sz w:val="24"/>
                <w:szCs w:val="24"/>
                <w14:ligatures w14:val="none"/>
              </w:rPr>
              <w:t xml:space="preserve">Период 5 (1 </w:t>
            </w:r>
            <w:r w:rsidRPr="00835AD5">
              <w:rPr>
                <w:rFonts w:ascii="Times New Roman" w:hAnsi="Times New Roman"/>
                <w:kern w:val="0"/>
                <w:sz w:val="24"/>
                <w:szCs w:val="24"/>
                <w:vertAlign w:val="superscript"/>
                <w14:ligatures w14:val="none"/>
              </w:rPr>
              <w:t xml:space="preserve">-ва </w:t>
            </w:r>
            <w:r w:rsidRPr="00835AD5">
              <w:rPr>
                <w:rFonts w:ascii="Times New Roman" w:hAnsi="Times New Roman"/>
                <w:kern w:val="0"/>
                <w:sz w:val="24"/>
                <w:szCs w:val="24"/>
                <w14:ligatures w14:val="none"/>
              </w:rPr>
              <w:t>половина на 2026 г.)</w:t>
            </w:r>
          </w:p>
        </w:tc>
      </w:tr>
      <w:tr w:rsidR="00835AD5" w:rsidRPr="00835AD5" w14:paraId="4DDF97AA" w14:textId="77777777" w:rsidTr="00835AD5">
        <w:tc>
          <w:tcPr>
            <w:tcW w:w="2830" w:type="dxa"/>
            <w:tcBorders>
              <w:top w:val="single" w:sz="4" w:space="0" w:color="auto"/>
              <w:left w:val="single" w:sz="4" w:space="0" w:color="auto"/>
              <w:bottom w:val="single" w:sz="4" w:space="0" w:color="auto"/>
              <w:right w:val="single" w:sz="4" w:space="0" w:color="auto"/>
            </w:tcBorders>
            <w:hideMark/>
          </w:tcPr>
          <w:p w14:paraId="7994B5DD" w14:textId="0BA99B07" w:rsidR="00835AD5" w:rsidRPr="00835AD5" w:rsidRDefault="00835AD5" w:rsidP="00835AD5">
            <w:pPr>
              <w:tabs>
                <w:tab w:val="left" w:pos="284"/>
              </w:tabs>
              <w:jc w:val="both"/>
              <w:rPr>
                <w:rFonts w:ascii="Times New Roman" w:hAnsi="Times New Roman"/>
                <w:kern w:val="0"/>
                <w:sz w:val="24"/>
                <w:szCs w:val="24"/>
                <w14:ligatures w14:val="none"/>
              </w:rPr>
            </w:pPr>
            <w:r w:rsidRPr="00835AD5">
              <w:rPr>
                <w:rFonts w:ascii="Times New Roman" w:hAnsi="Times New Roman"/>
                <w:kern w:val="0"/>
                <w:sz w:val="24"/>
                <w:szCs w:val="24"/>
                <w14:ligatures w14:val="none"/>
              </w:rPr>
              <w:t>Доклад за качество на резултат № 4</w:t>
            </w:r>
            <w:r w:rsidR="00A11422">
              <w:rPr>
                <w:rFonts w:ascii="Times New Roman" w:hAnsi="Times New Roman"/>
                <w:kern w:val="0"/>
                <w:sz w:val="24"/>
                <w:szCs w:val="24"/>
                <w14:ligatures w14:val="none"/>
              </w:rPr>
              <w:t xml:space="preserve">, </w:t>
            </w:r>
            <w:r w:rsidRPr="00835AD5">
              <w:rPr>
                <w:rFonts w:ascii="Times New Roman" w:hAnsi="Times New Roman"/>
                <w:kern w:val="0"/>
                <w:sz w:val="24"/>
                <w:szCs w:val="24"/>
                <w14:ligatures w14:val="none"/>
              </w:rPr>
              <w:t>свързано с Резултат 3.1.</w:t>
            </w:r>
          </w:p>
        </w:tc>
        <w:tc>
          <w:tcPr>
            <w:tcW w:w="4395" w:type="dxa"/>
            <w:tcBorders>
              <w:top w:val="single" w:sz="4" w:space="0" w:color="auto"/>
              <w:left w:val="single" w:sz="4" w:space="0" w:color="auto"/>
              <w:bottom w:val="single" w:sz="4" w:space="0" w:color="auto"/>
              <w:right w:val="single" w:sz="4" w:space="0" w:color="auto"/>
            </w:tcBorders>
            <w:hideMark/>
          </w:tcPr>
          <w:p w14:paraId="5911D140" w14:textId="77777777" w:rsidR="00835AD5" w:rsidRPr="00835AD5" w:rsidRDefault="00835AD5" w:rsidP="00835AD5">
            <w:pPr>
              <w:tabs>
                <w:tab w:val="left" w:pos="284"/>
              </w:tabs>
              <w:jc w:val="both"/>
              <w:rPr>
                <w:rFonts w:ascii="Times New Roman" w:hAnsi="Times New Roman"/>
                <w:kern w:val="0"/>
                <w:sz w:val="24"/>
                <w:szCs w:val="24"/>
                <w14:ligatures w14:val="none"/>
              </w:rPr>
            </w:pPr>
            <w:r w:rsidRPr="00835AD5">
              <w:rPr>
                <w:rFonts w:ascii="Times New Roman" w:hAnsi="Times New Roman"/>
                <w:kern w:val="0"/>
                <w:sz w:val="24"/>
                <w:szCs w:val="24"/>
                <w14:ligatures w14:val="none"/>
              </w:rPr>
              <w:t>Съвместна стратегия за възприемане на проекта от партньорите по проекта и асоциираните партньори по проекта  на ниво партньорство и специфични ангажименти на партньорите за средносрочна устойчивост и трансфер на опита и резултатите от проекта</w:t>
            </w:r>
          </w:p>
        </w:tc>
        <w:tc>
          <w:tcPr>
            <w:tcW w:w="1837" w:type="dxa"/>
            <w:tcBorders>
              <w:top w:val="single" w:sz="4" w:space="0" w:color="auto"/>
              <w:left w:val="single" w:sz="4" w:space="0" w:color="auto"/>
              <w:bottom w:val="single" w:sz="4" w:space="0" w:color="auto"/>
              <w:right w:val="single" w:sz="4" w:space="0" w:color="auto"/>
            </w:tcBorders>
            <w:hideMark/>
          </w:tcPr>
          <w:p w14:paraId="1B9568BB" w14:textId="77777777" w:rsidR="00835AD5" w:rsidRPr="00835AD5" w:rsidRDefault="00835AD5" w:rsidP="00835AD5">
            <w:pPr>
              <w:tabs>
                <w:tab w:val="left" w:pos="284"/>
              </w:tabs>
              <w:jc w:val="both"/>
              <w:rPr>
                <w:rFonts w:ascii="Times New Roman" w:hAnsi="Times New Roman"/>
                <w:kern w:val="0"/>
                <w:sz w:val="24"/>
                <w:szCs w:val="24"/>
                <w14:ligatures w14:val="none"/>
              </w:rPr>
            </w:pPr>
            <w:r w:rsidRPr="00835AD5">
              <w:rPr>
                <w:rFonts w:ascii="Times New Roman" w:hAnsi="Times New Roman"/>
                <w:kern w:val="0"/>
                <w:sz w:val="24"/>
                <w:szCs w:val="24"/>
                <w14:ligatures w14:val="none"/>
              </w:rPr>
              <w:t xml:space="preserve">Период 5 (1 </w:t>
            </w:r>
            <w:r w:rsidRPr="00835AD5">
              <w:rPr>
                <w:rFonts w:ascii="Times New Roman" w:hAnsi="Times New Roman"/>
                <w:kern w:val="0"/>
                <w:sz w:val="24"/>
                <w:szCs w:val="24"/>
                <w:vertAlign w:val="superscript"/>
                <w14:ligatures w14:val="none"/>
              </w:rPr>
              <w:t xml:space="preserve">-ва </w:t>
            </w:r>
            <w:r w:rsidRPr="00835AD5">
              <w:rPr>
                <w:rFonts w:ascii="Times New Roman" w:hAnsi="Times New Roman"/>
                <w:kern w:val="0"/>
                <w:sz w:val="24"/>
                <w:szCs w:val="24"/>
                <w14:ligatures w14:val="none"/>
              </w:rPr>
              <w:t>половина на 2026 г.)</w:t>
            </w:r>
          </w:p>
        </w:tc>
      </w:tr>
    </w:tbl>
    <w:p w14:paraId="15CA2469" w14:textId="77777777" w:rsidR="00835AD5" w:rsidRPr="00835AD5" w:rsidRDefault="00835AD5" w:rsidP="00835AD5">
      <w:pPr>
        <w:spacing w:after="200" w:line="276" w:lineRule="auto"/>
        <w:jc w:val="both"/>
        <w:rPr>
          <w:rFonts w:ascii="Calibri" w:eastAsia="Calibri" w:hAnsi="Calibri" w:cs="Times New Roman"/>
          <w:kern w:val="0"/>
          <w:lang w:val="bg-BG"/>
          <w14:ligatures w14:val="none"/>
        </w:rPr>
      </w:pPr>
    </w:p>
    <w:p w14:paraId="06E386D9" w14:textId="77777777" w:rsidR="00835AD5" w:rsidRPr="00835AD5" w:rsidRDefault="00835AD5" w:rsidP="00835AD5">
      <w:pPr>
        <w:spacing w:after="0" w:line="240" w:lineRule="auto"/>
        <w:jc w:val="both"/>
        <w:rPr>
          <w:rFonts w:ascii="Times New Roman" w:eastAsia="Calibri" w:hAnsi="Times New Roman" w:cs="Times New Roman"/>
          <w:kern w:val="0"/>
          <w:sz w:val="24"/>
          <w:szCs w:val="24"/>
          <w:lang w:val="bg-BG"/>
          <w14:ligatures w14:val="none"/>
        </w:rPr>
      </w:pPr>
    </w:p>
    <w:p w14:paraId="6AC067AA" w14:textId="37C97140" w:rsidR="007268F1" w:rsidRPr="00835AD5" w:rsidRDefault="007268F1">
      <w:pPr>
        <w:rPr>
          <w:lang w:val="bg-BG"/>
        </w:rPr>
      </w:pPr>
    </w:p>
    <w:sectPr w:rsidR="007268F1" w:rsidRPr="00835AD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FC48A" w14:textId="77777777" w:rsidR="008C08CF" w:rsidRDefault="008C08CF" w:rsidP="00D65403">
      <w:pPr>
        <w:spacing w:after="0" w:line="240" w:lineRule="auto"/>
      </w:pPr>
      <w:r>
        <w:separator/>
      </w:r>
    </w:p>
  </w:endnote>
  <w:endnote w:type="continuationSeparator" w:id="0">
    <w:p w14:paraId="476B8338" w14:textId="77777777" w:rsidR="008C08CF" w:rsidRDefault="008C08CF" w:rsidP="00D65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39706" w14:textId="77777777" w:rsidR="008C08CF" w:rsidRDefault="008C08CF" w:rsidP="00D65403">
      <w:pPr>
        <w:spacing w:after="0" w:line="240" w:lineRule="auto"/>
      </w:pPr>
      <w:r>
        <w:separator/>
      </w:r>
    </w:p>
  </w:footnote>
  <w:footnote w:type="continuationSeparator" w:id="0">
    <w:p w14:paraId="01564D3D" w14:textId="77777777" w:rsidR="008C08CF" w:rsidRDefault="008C08CF" w:rsidP="00D654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B7694" w14:textId="790BAF5E" w:rsidR="00D65403" w:rsidRPr="00D65403" w:rsidRDefault="00D65403" w:rsidP="00D65403">
    <w:pPr>
      <w:pStyle w:val="Header"/>
    </w:pPr>
    <w:r>
      <w:rPr>
        <w:noProof/>
        <w:lang w:val="bg-BG" w:eastAsia="bg-BG"/>
      </w:rPr>
      <w:drawing>
        <wp:inline distT="0" distB="0" distL="0" distR="0" wp14:anchorId="50539F9C" wp14:editId="331F0441">
          <wp:extent cx="2754630" cy="327472"/>
          <wp:effectExtent l="0" t="0" r="0" b="0"/>
          <wp:docPr id="661278448"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01245" cy="333014"/>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FE2B02"/>
    <w:multiLevelType w:val="hybridMultilevel"/>
    <w:tmpl w:val="DC600560"/>
    <w:lvl w:ilvl="0" w:tplc="040E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 w15:restartNumberingAfterBreak="0">
    <w:nsid w:val="5E6A4BA3"/>
    <w:multiLevelType w:val="hybridMultilevel"/>
    <w:tmpl w:val="82E2B668"/>
    <w:lvl w:ilvl="0" w:tplc="A8BE320C">
      <w:numFmt w:val="bullet"/>
      <w:lvlText w:val="-"/>
      <w:lvlJc w:val="left"/>
      <w:pPr>
        <w:ind w:left="720" w:hanging="360"/>
      </w:pPr>
      <w:rPr>
        <w:rFonts w:ascii="Calibri" w:eastAsia="Times New Roman"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1443304041">
    <w:abstractNumId w:val="1"/>
  </w:num>
  <w:num w:numId="2" w16cid:durableId="19380999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5DC4"/>
    <w:rsid w:val="001203D0"/>
    <w:rsid w:val="001C7A5D"/>
    <w:rsid w:val="00265DC4"/>
    <w:rsid w:val="002B3462"/>
    <w:rsid w:val="0032351D"/>
    <w:rsid w:val="007268F1"/>
    <w:rsid w:val="00792717"/>
    <w:rsid w:val="007B7FED"/>
    <w:rsid w:val="00835AD5"/>
    <w:rsid w:val="008C08CF"/>
    <w:rsid w:val="009D64CB"/>
    <w:rsid w:val="00A11422"/>
    <w:rsid w:val="00A361A3"/>
    <w:rsid w:val="00CF7AE8"/>
    <w:rsid w:val="00D6540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049B2C"/>
  <w15:docId w15:val="{EA50DF53-AE36-4A29-8D18-666CC64F5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5403"/>
    <w:pPr>
      <w:tabs>
        <w:tab w:val="center" w:pos="4536"/>
        <w:tab w:val="right" w:pos="9072"/>
      </w:tabs>
      <w:spacing w:after="0" w:line="240" w:lineRule="auto"/>
    </w:pPr>
  </w:style>
  <w:style w:type="character" w:customStyle="1" w:styleId="HeaderChar">
    <w:name w:val="Header Char"/>
    <w:basedOn w:val="DefaultParagraphFont"/>
    <w:link w:val="Header"/>
    <w:uiPriority w:val="99"/>
    <w:rsid w:val="00D65403"/>
  </w:style>
  <w:style w:type="paragraph" w:styleId="Footer">
    <w:name w:val="footer"/>
    <w:basedOn w:val="Normal"/>
    <w:link w:val="FooterChar"/>
    <w:uiPriority w:val="99"/>
    <w:unhideWhenUsed/>
    <w:rsid w:val="00D65403"/>
    <w:pPr>
      <w:tabs>
        <w:tab w:val="center" w:pos="4536"/>
        <w:tab w:val="right" w:pos="9072"/>
      </w:tabs>
      <w:spacing w:after="0" w:line="240" w:lineRule="auto"/>
    </w:pPr>
  </w:style>
  <w:style w:type="character" w:customStyle="1" w:styleId="FooterChar">
    <w:name w:val="Footer Char"/>
    <w:basedOn w:val="DefaultParagraphFont"/>
    <w:link w:val="Footer"/>
    <w:uiPriority w:val="99"/>
    <w:rsid w:val="00D65403"/>
  </w:style>
  <w:style w:type="paragraph" w:styleId="CommentText">
    <w:name w:val="annotation text"/>
    <w:basedOn w:val="Normal"/>
    <w:link w:val="CommentTextChar"/>
    <w:uiPriority w:val="99"/>
    <w:semiHidden/>
    <w:unhideWhenUsed/>
    <w:rsid w:val="00835AD5"/>
    <w:pPr>
      <w:spacing w:after="200" w:line="240" w:lineRule="auto"/>
    </w:pPr>
    <w:rPr>
      <w:rFonts w:ascii="Calibri" w:eastAsia="Calibri" w:hAnsi="Calibri" w:cs="Times New Roman"/>
      <w:kern w:val="0"/>
      <w:sz w:val="20"/>
      <w:szCs w:val="20"/>
      <w:lang w:val="bg-BG"/>
      <w14:ligatures w14:val="none"/>
    </w:rPr>
  </w:style>
  <w:style w:type="character" w:customStyle="1" w:styleId="CommentTextChar">
    <w:name w:val="Comment Text Char"/>
    <w:basedOn w:val="DefaultParagraphFont"/>
    <w:link w:val="CommentText"/>
    <w:uiPriority w:val="99"/>
    <w:semiHidden/>
    <w:rsid w:val="00835AD5"/>
    <w:rPr>
      <w:rFonts w:ascii="Calibri" w:eastAsia="Calibri" w:hAnsi="Calibri" w:cs="Times New Roman"/>
      <w:kern w:val="0"/>
      <w:sz w:val="20"/>
      <w:szCs w:val="20"/>
      <w:lang w:val="bg-BG"/>
      <w14:ligatures w14:val="none"/>
    </w:rPr>
  </w:style>
  <w:style w:type="character" w:styleId="CommentReference">
    <w:name w:val="annotation reference"/>
    <w:basedOn w:val="DefaultParagraphFont"/>
    <w:uiPriority w:val="99"/>
    <w:semiHidden/>
    <w:unhideWhenUsed/>
    <w:rsid w:val="00835AD5"/>
    <w:rPr>
      <w:sz w:val="16"/>
      <w:szCs w:val="16"/>
    </w:rPr>
  </w:style>
  <w:style w:type="table" w:styleId="TableGrid">
    <w:name w:val="Table Grid"/>
    <w:basedOn w:val="TableNormal"/>
    <w:uiPriority w:val="39"/>
    <w:rsid w:val="00835AD5"/>
    <w:pPr>
      <w:spacing w:after="0" w:line="240" w:lineRule="auto"/>
    </w:pPr>
    <w:rPr>
      <w:rFonts w:ascii="Calibri" w:eastAsia="Calibri" w:hAnsi="Calibri" w:cs="Times New Roman"/>
      <w:lang w:val="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1C7A5D"/>
    <w:pPr>
      <w:spacing w:after="160"/>
    </w:pPr>
    <w:rPr>
      <w:rFonts w:asciiTheme="minorHAnsi" w:eastAsiaTheme="minorHAnsi" w:hAnsiTheme="minorHAnsi" w:cstheme="minorBidi"/>
      <w:b/>
      <w:bCs/>
      <w:kern w:val="2"/>
      <w:lang w:val="hu-HU"/>
      <w14:ligatures w14:val="standardContextual"/>
    </w:rPr>
  </w:style>
  <w:style w:type="character" w:customStyle="1" w:styleId="CommentSubjectChar">
    <w:name w:val="Comment Subject Char"/>
    <w:basedOn w:val="CommentTextChar"/>
    <w:link w:val="CommentSubject"/>
    <w:uiPriority w:val="99"/>
    <w:semiHidden/>
    <w:rsid w:val="001C7A5D"/>
    <w:rPr>
      <w:rFonts w:ascii="Calibri" w:eastAsia="Calibri" w:hAnsi="Calibri" w:cs="Times New Roman"/>
      <w:b/>
      <w:bCs/>
      <w:kern w:val="0"/>
      <w:sz w:val="20"/>
      <w:szCs w:val="20"/>
      <w:lang w:val="bg-BG"/>
      <w14:ligatures w14:val="none"/>
    </w:rPr>
  </w:style>
  <w:style w:type="paragraph" w:styleId="BalloonText">
    <w:name w:val="Balloon Text"/>
    <w:basedOn w:val="Normal"/>
    <w:link w:val="BalloonTextChar"/>
    <w:uiPriority w:val="99"/>
    <w:semiHidden/>
    <w:unhideWhenUsed/>
    <w:rsid w:val="002B34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34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234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1857</Words>
  <Characters>10588</Characters>
  <Application>Microsoft Office Word</Application>
  <DocSecurity>0</DocSecurity>
  <Lines>88</Lines>
  <Paragraphs>24</Paragraphs>
  <ScaleCrop>false</ScaleCrop>
  <Company/>
  <LinksUpToDate>false</LinksUpToDate>
  <CharactersWithSpaces>12421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Vanya Ratarova BSPB</dc:creator>
  <cp:keywords/>
  <dc:description/>
  <cp:lastModifiedBy>Vanya Ratarova BSPB</cp:lastModifiedBy>
  <cp:revision>8</cp:revision>
  <dcterms:created xsi:type="dcterms:W3CDTF">2024-03-07T12:58:00Z</dcterms:created>
  <dcterms:modified xsi:type="dcterms:W3CDTF">2024-03-15T10:15:00Z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ac639edd-73a1-497b-b006-cce4d230c730</vt:lpwstr>
  </property>
</Properties>
</file>